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Access Control Policy</w:t>
      </w:r>
    </w:p>
    <w:p>
      <w:pPr>
        <w:spacing w:after="120"/>
      </w:pPr>
      <w:r>
        <w:rPr>
          <w:sz w:val="22"/>
          <w:szCs w:val="22"/>
        </w:rPr>
        <w:t xml:space="preserve">Document ID: POL-AC-2026-001 | Version: 3.2 | Last Reviewed: January 15, 2026 | Classification: CUI</w:t>
      </w:r>
    </w:p>
    <w:p/>
    <w:p>
      <w:pPr>
        <w:pStyle w:val="Heading1"/>
      </w:pPr>
      <w:r>
        <w:t xml:space="preserve">Purpose</w:t>
      </w:r>
    </w:p>
    <w:p>
      <w:pPr>
        <w:spacing w:after="120"/>
      </w:pPr>
      <w:r>
        <w:rPr>
          <w:sz w:val="22"/>
          <w:szCs w:val="22"/>
        </w:rPr>
        <w:t xml:space="preserve">This policy establishes the access control requirements for all information systems operated by the organization. The intent is to ensure that only authorized personnel can access sensitive data and systems in accordance with the principle of least privilege.</w:t>
      </w:r>
    </w:p>
    <w:p/>
    <w:p>
      <w:pPr>
        <w:spacing w:after="120" w:before="240"/>
      </w:pPr>
      <w:r>
        <w:rPr>
          <w:rFonts w:ascii="Arial" w:cs="Arial" w:eastAsia="Arial" w:hAnsi="Arial"/>
          <w:b/>
          <w:bCs/>
          <w:sz w:val="28"/>
          <w:szCs w:val="28"/>
        </w:rPr>
        <w:t xml:space="preserve">Scope</w:t>
      </w:r>
    </w:p>
    <w:p>
      <w:pPr>
        <w:spacing w:after="120"/>
      </w:pPr>
      <w:r>
        <w:rPr>
          <w:sz w:val="22"/>
          <w:szCs w:val="22"/>
        </w:rPr>
        <w:t xml:space="preserve">This policy applies to all employees, contractors, and third-party personnel who access organizational information systems. For additional personnel categories, refer to Section 4 of this document.</w:t>
      </w:r>
    </w:p>
    <w:p/>
    <w:p>
      <w:pPr>
        <w:pStyle w:val="Heading1"/>
      </w:pPr>
      <w:r>
        <w:t xml:space="preserve">Intent</w:t>
      </w:r>
    </w:p>
    <w:p>
      <w:pPr>
        <w:spacing w:after="120"/>
      </w:pPr>
      <w:r>
        <w:rPr>
          <w:sz w:val="22"/>
          <w:szCs w:val="22"/>
        </w:rPr>
        <w:t xml:space="preserve">The organization intends to prevent unauthorized access to information systems and data by implementing layered access controls. These controls support the broader cybersecurity program described in the Information Security Program Charter. See Section 5.2 of the Incident Response Policy for escalation procedures related to unauthorized access attempts.</w:t>
      </w:r>
    </w:p>
    <w:p/>
    <w:p>
      <w:pPr>
        <w:pStyle w:val="Heading1"/>
      </w:pPr>
      <w:r>
        <w:t xml:space="preserve">Controls</w:t>
      </w:r>
    </w:p>
    <w:p>
      <w:pPr>
        <w:spacing w:after="120"/>
      </w:pPr>
      <w:r>
        <w:rPr>
          <w:sz w:val="22"/>
          <w:szCs w:val="22"/>
        </w:rPr>
        <w:t xml:space="preserve">The following controls govern access to organizational systems. Each control maps to NIST SP 800-53 Rev 5 requirements. As described in the Risk Management Policy, risk assessments shall inform the implementation priority of these controls.</w:t>
      </w:r>
    </w:p>
    <w:p/>
    <w:p>
      <w:pPr>
        <w:pStyle w:val="Heading2"/>
      </w:pPr>
      <w:r>
        <w:t xml:space="preserve">Access Control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500"/>
        <w:gridCol w:w="1100"/>
        <w:gridCol w:w="1200"/>
        <w:gridCol w:w="1560"/>
      </w:tblGrid>
      <w:tr>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Control ID</w:t>
            </w:r>
          </w:p>
        </w:tc>
        <w:tc>
          <w:tcPr>
            <w:tcW w:type="dxa" w:w="1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Control Title</w:t>
            </w:r>
          </w:p>
        </w:tc>
        <w:tc>
          <w:tcPr>
            <w:tcW w:type="dxa" w:w="2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Requirement</w:t>
            </w:r>
          </w:p>
        </w:tc>
        <w:tc>
          <w:tcPr>
            <w:tcW w:type="dxa" w:w="1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NIST Mapping</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Status</w:t>
            </w:r>
          </w:p>
        </w:tc>
        <w:tc>
          <w:tcPr>
            <w:tcW w:type="dxa" w:w="1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Owner</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ACC01.001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User Account Provisioning</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All user accounts shall be provisioned through the centralized identity management system with documented approval from the data owner.</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Implemented</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IT Security</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ACC01.002</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Privileged Account Management</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Privileged accounts shall be reviewed quarterly and require multi-factor authentication for all access. Refer to Section 4.3 for MFA requirements.</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Implemented</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IT Security</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ACC02.001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Remote Access Controls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Remote access shall be permitted only through approved VPN connections with certificate-based authentication.</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AC-17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Implemented</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Network Ops</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ACC02.002</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Wireless Access Restrictions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Wireless network access for organizational devices shall require 802.1X authentication. See the Network Security Policy, Section 3.1 for wireless architecture.</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AC-18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Partially Implemented</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Network Ops</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ACC03.001</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Session Lock Requirements</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Information systems shall enforce session lock after 15 minutes of inactivity as described in Section 2.4 above.</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AC-11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Implemented</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Endpoint Team</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ACC03.002</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Session Termination</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Sessions shall be automatically terminated after 8 hours of continuous use.</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AC-12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Not Implemented</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Endpoint Team</w:t>
            </w:r>
          </w:p>
        </w:tc>
      </w:tr>
    </w:tbl>
    <w:p/>
    <w:p>
      <w:pPr>
        <w:spacing w:after="120" w:before="240"/>
      </w:pPr>
      <w:r>
        <w:rPr>
          <w:rFonts w:ascii="Arial" w:cs="Arial" w:eastAsia="Arial" w:hAnsi="Arial"/>
          <w:b/>
          <w:bCs/>
          <w:sz w:val="28"/>
          <w:szCs w:val="28"/>
        </w:rPr>
        <w:t xml:space="preserve">Supplementary Access Requirements</w:t>
      </w:r>
    </w:p>
    <w:p>
      <w:pPr>
        <w:spacing w:after="120"/>
      </w:pPr>
      <w:r>
        <w:rPr>
          <w:sz w:val="22"/>
          <w:szCs w:val="22"/>
        </w:rPr>
        <w:t xml:space="preserve">In addition to the controls above, the following supplementary requirements apply to systems processing controlled unclassified information (CUI):</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860"/>
        <w:gridCol w:w="2000"/>
      </w:tblGrid>
      <w:tr>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Req ID</w:t>
            </w:r>
          </w:p>
        </w:tc>
        <w:tc>
          <w:tcPr>
            <w:tcW w:type="dxa" w:w="58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Description</w:t>
            </w:r>
          </w:p>
        </w:tc>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Framework Ref</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SAR01.001</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CUI systems shall implement role-based access control (RBAC) with documented role definitions reviewed annually.</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NIST AC-3</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SAR01.002</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Access to CUI shall be logged and audit trails retained for a minimum of 3 years per the Records Retention Policy.</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NIST AC-4, AU-3</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SAR02.001</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External connections to CUI systems require authorization from the ISSM. As previously stated in Section 3, all remote access must use the approved VPN.</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NIST AC-4</w:t>
            </w:r>
          </w:p>
        </w:tc>
      </w:tr>
    </w:tbl>
    <w:p/>
    <w:p>
      <w:pPr>
        <w:pStyle w:val="Heading1"/>
      </w:pPr>
      <w:r>
        <w:t xml:space="preserve">4. Enforcement</w:t>
      </w:r>
    </w:p>
    <w:p>
      <w:pPr>
        <w:spacing w:after="120"/>
      </w:pPr>
      <w:r>
        <w:rPr>
          <w:sz w:val="22"/>
          <w:szCs w:val="22"/>
        </w:rPr>
        <w:t xml:space="preserve">Violations of this policy may result in disciplinary action up to and including termination of employment. Refer to Section 6 of the Acceptable Use Policy for the complete disciplinary framework. Contractors found in violation shall be subject to contract remediation as described in the Vendor Management Policy.</w:t>
      </w:r>
    </w:p>
    <w:p/>
    <w:p>
      <w:pPr>
        <w:spacing w:after="120" w:before="240"/>
      </w:pPr>
      <w:r>
        <w:rPr>
          <w:rFonts w:ascii="Arial" w:cs="Arial" w:eastAsia="Arial" w:hAnsi="Arial"/>
          <w:b/>
          <w:bCs/>
          <w:sz w:val="28"/>
          <w:szCs w:val="28"/>
        </w:rPr>
        <w:t xml:space="preserve">5. Appendix A -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Term</w:t>
            </w:r>
          </w:p>
        </w:tc>
        <w:tc>
          <w:tcPr>
            <w:tcW w:type="dxa" w:w="73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Definition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Least Privilege</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The principle that users should be granted only the minimum access necessary to perform their job functions.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MFA</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Multi-Factor Authentication. A security mechanism requiring two or more verification factors.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RBAC</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Role-Based Access Control. Access permissions assigned based on organizational roles.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CUI</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Controlled Unclassified Information. Information the Government creates or possesses that requires safeguarding.</w:t>
            </w:r>
          </w:p>
        </w:tc>
      </w:tr>
    </w:tbl>
    <w:p/>
    <w:p>
      <w:pPr>
        <w:spacing w:after="120" w:before="240"/>
      </w:pPr>
      <w:r>
        <w:rPr>
          <w:rFonts w:ascii="Arial" w:cs="Arial" w:eastAsia="Arial" w:hAnsi="Arial"/>
          <w:b/>
          <w:bCs/>
          <w:sz w:val="28"/>
          <w:szCs w:val="28"/>
        </w:rPr>
        <w:t xml:space="preserve">Appendix B -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160"/>
        <w:gridCol w:w="4500"/>
      </w:tblGrid>
      <w:tr>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Version</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Date</w:t>
            </w:r>
          </w:p>
        </w:tc>
        <w:tc>
          <w:tcPr>
            <w:tcW w:type="dxa" w:w="21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Author</w:t>
            </w:r>
          </w:p>
        </w:tc>
        <w:tc>
          <w:tcPr>
            <w:tcW w:type="dxa" w:w="4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b/>
                <w:bCs/>
                <w:sz w:val="20"/>
                <w:szCs w:val="20"/>
              </w:rPr>
              <w:t xml:space="preserve">Changes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3.2</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01/15/2026</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J. Smith, CISO</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Added CUI supplementary requirements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3.1</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07/01/2025</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J. Smith, CISO</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Updated MFA requirements per new NIST guidance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3.0</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01/15/2025</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M. Johnson</w:t>
            </w:r>
          </w:p>
        </w:tc>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0"/>
                <w:szCs w:val="20"/>
              </w:rPr>
              <w:t xml:space="preserve">Major revision for FedRAMP alignment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666666"/>
        <w:sz w:val="16"/>
        <w:szCs w:val="16"/>
      </w:rPr>
      <w:t xml:space="preserve">Access Control Policy | POL-AC-2026-001 | CUI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20" w:before="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2026-03-22T01:36:07.217Z</dcterms:created>
  <dcterms:modified xsi:type="dcterms:W3CDTF">2026-03-22T01:36:07.218Z</dcterms:modified>
</cp:coreProperties>
</file>

<file path=docProps/custom.xml><?xml version="1.0" encoding="utf-8"?>
<Properties xmlns="http://schemas.openxmlformats.org/officeDocument/2006/custom-properties" xmlns:vt="http://schemas.openxmlformats.org/officeDocument/2006/docPropsVTypes"/>
</file>