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 la 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representante_emisor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}}, al que este acuerdo llama el Fin.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limitativa, y se considera confidencial aunque no esté marcada: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que una Parte comparta o a los que la otra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quienes necesiten conocerla en los términos de esta cláusula y salvo lo previsto en la cláusula quinta sobre mandato de autoridad</w:t>
      </w:r>
    </w:p>
    <w:p>
      <w:pPr>
        <w:pStyle w:val="ListBullet"/>
        <w:spacing w:line="300" w:lineRule="exact"/>
      </w:pPr>
      <w:r>
        <w:t>Usarla únicamente para el Fin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 La fecha del documento es solo de referencia.</w:t>
      </w:r>
    </w:p>
    <w:p>
      <w:pPr>
        <w:keepNext w:val="0"/>
        <w:spacing w:line="320" w:lineRule="exact" w:after="160"/>
      </w:pPr>
      <w:r>
        <w:t>Los avisos previstos en este acuerdo se darán por escrito, incluso por correo electrónico, a la dirección de correo electrónico con la que cada Parte haya firmado o a la que después designe por escrito. El aviso surte efectos cuando la otra Parte lo recibe, y la terminación a los treinta días naturales siguientes.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 y también a la que las Partes se hayan compartido antes de la firma con motivo del Fin.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conserve, aun cuando haya concluido el plazo previsto en la cláusula sexta.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de la Parte emisora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de la Parte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