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Conformité de la prospection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line="276"/>
            </w:pPr>
            <w:r>
              <w:rPr>
                <w:rFonts w:ascii="Calibri" w:cs="Calibri" w:eastAsia="Calibri" w:hAnsi="Calibri"/>
              </w:rPr>
              <w:t xml:space="preserve"/>
            </w:r>
            <w:r>
              <w:rPr>
                <w:rFonts w:ascii="Calibri" w:cs="Calibri" w:eastAsia="Calibri" w:hAnsi="Calibri"/>
                <w:b/>
                <w:bCs/>
              </w:rPr>
              <w:t xml:space="preserve">Statut du document.</w:t>
            </w:r>
            <w:r>
              <w:rPr>
                <w:rFonts w:ascii="Calibri" w:cs="Calibri" w:eastAsia="Calibri" w:hAnsi="Calibri"/>
              </w:rPr>
              <w:t xml:space="preserve"> Note de travail rédigée le 10 octobre 2026 à partir de sources publiques, dont certaines sont des sites d'éditeurs et non des textes officiels. Je ne suis ni juriste ni conseiller : ce document donne l'information disponible et ne tranche pas. Il est à faire relire par un juriste avant de lancer la prospection (étapes 2.7 et 4.5).</w:t>
            </w:r>
          </w:p>
        </w:tc>
      </w:tr>
    </w:tbl>
    <w:p>
      <w:pPr>
        <w:spacing w:after="60"/>
      </w:pPr>
    </w:p>
    <w:p>
      <w:pPr>
        <w:pStyle w:val="Heading2"/>
        <w:keepNext/>
        <w:spacing w:after="120" w:before="280"/>
      </w:pPr>
      <w:r>
        <w:rPr>
          <w:rFonts w:ascii="Calibri" w:cs="Calibri" w:eastAsia="Calibri" w:hAnsi="Calibri"/>
        </w:rPr>
        <w:t xml:space="preserve">1. Ce que disent les sources, canal par canal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026"/>
      </w:tblGrid>
      <w:tr>
        <w:trPr>
          <w:cantSplit/>
          <w:tblHeader/>
        </w:trPr>
        <w:tc>
          <w:tcPr>
            <w:tcW w:type="dxa" w:w="17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Canal</w:t>
            </w:r>
          </w:p>
        </w:tc>
        <w:tc>
          <w:tcPr>
            <w:tcW w:type="dxa" w:w="43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Règle relevée</w:t>
            </w:r>
          </w:p>
        </w:tc>
        <w:tc>
          <w:tcPr>
            <w:tcW w:type="dxa" w:w="3026"/>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Conséquence pour toi</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Email vers un professionnel</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Pas de consentement préalable si l'adresse est professionnelle et si l'offre a un rapport avec l'activité du destinataire, à condition d'informer la personne et de lui permettre de s'opposer facilement (article L34-5 du code des postes et des communications électroniques, doctrine de la CNIL).</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Adresse professionnelle uniquement. Information et lien d'opposition dans chaque email : déjà prévus dans 01-emails-prospection.</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Téléphone vers un professionnel</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Depuis le 11 août 2026, le consentement préalable est obligatoire pour démarcher un consommateur (loi du 30 juin 2025, article L223-1 du code de la consommation) et Bloctel disparaît. D'après les synthèses lues, la prospection entre professionnels n'est pas soumise à cette règle et reste encadrée par le RGPD. Un guide d'éditeur affirme l'inverse : les sources divergent.</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N'appelle que des numéros professionnels pour une offre liée à l'activité. Si la personne répond qu'elle achète pour sa vie privée, arrête l'appel. Un contrat conclu après un démarchage interdit peut être frappé de nullité : point à faire valider.</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Collecte indirecte des données</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Quand tu n'as pas collecté la donnée auprès de la personne, l'article 14 du RGPD impose de l'informer : identité du responsable, finalité, base légale, source, durée, droits. Délai : au plus tard à la première communication, et en tout cas dans le mois suivant la collecte.</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L'information est donnée dans le premier email ou à l'oral dans le script d'appel, et détaillée dans la politique de confidentialité (section ajoutée au site).</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Opposition</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Le droit de s'opposer à la prospection (article 21 du RGPD) doit pouvoir s'exercer à tout moment, simplement et gratuitement.</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Réponse « STOP » par email, demande orale au téléphone. Suppression des coordonnées et enregistrement dans l'onglet Opposition du tableau de suivi.</w:t>
            </w:r>
          </w:p>
        </w:tc>
      </w:tr>
    </w:tbl>
    <w:p>
      <w:pPr>
        <w:pStyle w:val="Heading2"/>
        <w:keepNext/>
        <w:spacing w:after="120" w:before="280"/>
      </w:pPr>
      <w:r>
        <w:rPr>
          <w:rFonts w:ascii="Calibri" w:cs="Calibri" w:eastAsia="Calibri" w:hAnsi="Calibri"/>
        </w:rPr>
        <w:t xml:space="preserve">2. Points d'attention propres à ton cas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Entrepreneurs individuels.</w:t>
      </w:r>
      <w:r>
        <w:rPr>
          <w:rFonts w:ascii="Calibri" w:cs="Calibri" w:eastAsia="Calibri" w:hAnsi="Calibri"/>
        </w:rPr>
        <w:t xml:space="preserve"> Leur nom, leur numéro et leur email sont des données personnelles, même quand le numéro est professionnel. Une adresse du type prenom.nom@societe.fr identifie une personne : les obligations d'information et d'opposition s'appliquent.</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Sources de données.</w:t>
      </w:r>
      <w:r>
        <w:rPr>
          <w:rFonts w:ascii="Calibri" w:cs="Calibri" w:eastAsia="Calibri" w:hAnsi="Calibri"/>
        </w:rPr>
        <w:t xml:space="preserve"> Note la source de chaque prospect (colonne Source du tableau). Le répertoire Sirene est publié en open data sous Licence Ouverte, avec des obligations de réutilisation liées aux données personnelles qu'il contient. Pour Google Maps, la collecte à la main est ce que prévoit le plan 2.3 : vérifie les conditions d'utilisation avant tout outil d'extraction automatique.</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Entreprises non diffusibles.</w:t>
      </w:r>
      <w:r>
        <w:rPr>
          <w:rFonts w:ascii="Calibri" w:cs="Calibri" w:eastAsia="Calibri" w:hAnsi="Calibri"/>
        </w:rPr>
        <w:t xml:space="preserve"> Certaines entreprises demandent que leurs données Sirene ne soient pas diffusées : ne les contacte pas, le script 05 les écarte.</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Même source, autre usage.</w:t>
      </w:r>
      <w:r>
        <w:rPr>
          <w:rFonts w:ascii="Calibri" w:cs="Calibri" w:eastAsia="Calibri" w:hAnsi="Calibri"/>
        </w:rPr>
        <w:t xml:space="preserve"> Une donnée collectée pour la prospection ne sert qu'à la prospection.</w:t>
      </w:r>
    </w:p>
    <w:p>
      <w:pPr>
        <w:pStyle w:val="Heading2"/>
        <w:keepNext/>
        <w:spacing w:after="120" w:before="280"/>
      </w:pPr>
      <w:r>
        <w:rPr>
          <w:rFonts w:ascii="Calibri" w:cs="Calibri" w:eastAsia="Calibri" w:hAnsi="Calibri"/>
        </w:rPr>
        <w:t xml:space="preserve">3. Procédure à suivre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5200"/>
        <w:gridCol w:w="1926"/>
      </w:tblGrid>
      <w:tr>
        <w:trPr>
          <w:cantSplit/>
          <w:tblHeader/>
        </w:trPr>
        <w:tc>
          <w:tcPr>
            <w:tcW w:type="dxa" w:w="19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Moment</w:t>
            </w:r>
          </w:p>
        </w:tc>
        <w:tc>
          <w:tcPr>
            <w:tcW w:type="dxa" w:w="52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Action</w:t>
            </w:r>
          </w:p>
        </w:tc>
        <w:tc>
          <w:tcPr>
            <w:tcW w:type="dxa" w:w="1926"/>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Où le noter</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Collecte</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Enregistrer uniquement les colonnes utiles du plan 2.3, avec la source et la date de collecte.</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Tableau de suivi, onglet Prospects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Premier contact</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Donner l'information (email : paragraphe de mention ; téléphone : étapes 1 à 3 du script).</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Colonnes Date 1er contact et Canal</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Relances</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Deux relances au maximum, puis arrêt.</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Colonnes Relance 1 et Relance 2</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Opposition</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Supprimer les coordonnées de la liste active, ne conserver que le nom de l'entreprise et l'adresse ou le numéro concerné pour ne pas recontacter, avec la date.</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Onglet Opposition</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Conservation</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Proposition : 3 ans à compter de la collecte ou du dernier échange avec toi, puis suppression. La colonne Supprimer avant le calcule la date.</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Tableau de suivi</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Demande d'accès ou d'effacement</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Répondre dans le mois (délai annoncé dans la politique de confidentialité).</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Boîte ducoin.co@gmail.com</w:t>
            </w:r>
          </w:p>
        </w:tc>
      </w:tr>
    </w:tbl>
    <w:p>
      <w:pPr>
        <w:pStyle w:val="Heading2"/>
        <w:keepNext/>
        <w:spacing w:after="120" w:before="280"/>
      </w:pPr>
      <w:r>
        <w:rPr>
          <w:rFonts w:ascii="Calibri" w:cs="Calibri" w:eastAsia="Calibri" w:hAnsi="Calibri"/>
        </w:rPr>
        <w:t xml:space="preserve">4. Fiche de registre des traitements (modèle)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Rubrique</w:t>
            </w:r>
          </w:p>
        </w:tc>
        <w:tc>
          <w:tcPr>
            <w:tcW w:type="dxa" w:w="6626"/>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Contenu proposé</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Responsable</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Pierre-Antton Ducoin, entrepreneur individuel (P-A Ducoin), ducoin.co@gmail.com</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Finalité</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Prospection commerciale auprès de professionnels pour la création de sites vitrines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Base légale</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Intérêt légitime (développement de l'activité auprès de professionnels, offre liée à leur activité)</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Personnes concernées</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Dirigeants et contacts d'entreprises, dont entrepreneurs individuels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Données</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Nom, activité, ville, téléphone et email professionnels, site actuel, historique des échanges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Source</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Répertoire Sirene, fiches d'entreprise publiques, échanges directs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Destinataires</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Toi seul. Messagerie : Google (Gmail)</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Durée</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3 ans à compter de la collecte ou du dernier échange (proposition)</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Sécurité</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Compte Google avec authentification à deux facteurs, tableau de suivi non partagé</w:t>
            </w:r>
          </w:p>
        </w:tc>
      </w:tr>
    </w:tbl>
    <w:p>
      <w:pPr>
        <w:pStyle w:val="Heading2"/>
        <w:keepNext/>
        <w:spacing w:after="120" w:before="280"/>
      </w:pPr>
      <w:r>
        <w:rPr>
          <w:rFonts w:ascii="Calibri" w:cs="Calibri" w:eastAsia="Calibri" w:hAnsi="Calibri"/>
        </w:rPr>
        <w:t xml:space="preserve">5. Questions à poser au juriste</w:t>
      </w:r>
    </w:p>
    <w:p>
      <w:pPr>
        <w:pStyle w:val="ListParagraph"/>
        <w:numPr>
          <w:ilvl w:val="0"/>
          <w:numId w:val="2"/>
        </w:numPr>
        <w:spacing w:after="60" w:line="276"/>
      </w:pPr>
      <w:r>
        <w:rPr>
          <w:rFonts w:ascii="Calibri" w:cs="Calibri" w:eastAsia="Calibri" w:hAnsi="Calibri"/>
        </w:rPr>
        <w:t xml:space="preserve">Le démarchage téléphonique de professionnels est-il bien hors du champ de l'article L223-1 depuis le 11 août 2026, notamment pour un entrepreneur individuel ?</w:t>
      </w:r>
    </w:p>
    <w:p>
      <w:pPr>
        <w:pStyle w:val="ListParagraph"/>
        <w:numPr>
          <w:ilvl w:val="0"/>
          <w:numId w:val="2"/>
        </w:numPr>
        <w:spacing w:after="60" w:line="276"/>
      </w:pPr>
      <w:r>
        <w:rPr>
          <w:rFonts w:ascii="Calibri" w:cs="Calibri" w:eastAsia="Calibri" w:hAnsi="Calibri"/>
        </w:rPr>
        <w:t xml:space="preserve">Un contrat signé en ligne après un premier appel téléphonique est-il un contrat conclu hors établissement au sens de l'article L221-3 ? La réponse change le contrat (voir 08-contrat-prestation, article 9).</w:t>
      </w:r>
    </w:p>
    <w:p>
      <w:pPr>
        <w:pStyle w:val="ListParagraph"/>
        <w:numPr>
          <w:ilvl w:val="0"/>
          <w:numId w:val="2"/>
        </w:numPr>
        <w:spacing w:after="60" w:line="276"/>
      </w:pPr>
      <w:r>
        <w:rPr>
          <w:rFonts w:ascii="Calibri" w:cs="Calibri" w:eastAsia="Calibri" w:hAnsi="Calibri"/>
        </w:rPr>
        <w:t xml:space="preserve">La base de l'intérêt légitime tient-elle pour des adresses nominatives d'entrepreneurs individuels collectées sur des fiches publiques ?</w:t>
      </w:r>
    </w:p>
    <w:p>
      <w:pPr>
        <w:pStyle w:val="ListParagraph"/>
        <w:numPr>
          <w:ilvl w:val="0"/>
          <w:numId w:val="2"/>
        </w:numPr>
        <w:spacing w:after="60" w:line="276"/>
      </w:pPr>
      <w:r>
        <w:rPr>
          <w:rFonts w:ascii="Calibri" w:cs="Calibri" w:eastAsia="Calibri" w:hAnsi="Calibri"/>
        </w:rPr>
        <w:t xml:space="preserve">La durée de conservation de 3 ans est-elle adaptée ?</w:t>
      </w:r>
    </w:p>
    <w:p>
      <w:pPr>
        <w:pStyle w:val="ListParagraph"/>
        <w:numPr>
          <w:ilvl w:val="0"/>
          <w:numId w:val="2"/>
        </w:numPr>
        <w:spacing w:after="60" w:line="276"/>
      </w:pPr>
      <w:r>
        <w:rPr>
          <w:rFonts w:ascii="Calibri" w:cs="Calibri" w:eastAsia="Calibri" w:hAnsi="Calibri"/>
        </w:rPr>
        <w:t xml:space="preserve">Faut-il un encadrement particulier pour l'usage de Gmail comme outil d'envoi (transfert vers les États-Unis) ?</w:t>
      </w:r>
    </w:p>
    <w:p>
      <w:pPr>
        <w:pStyle w:val="Heading2"/>
        <w:keepNext/>
        <w:spacing w:after="120" w:before="280"/>
      </w:pPr>
      <w:r>
        <w:rPr>
          <w:rFonts w:ascii="Calibri" w:cs="Calibri" w:eastAsia="Calibri" w:hAnsi="Calibri"/>
        </w:rPr>
        <w:t xml:space="preserve">6. Texte ajouté à la politique de confidentialité</w:t>
      </w:r>
    </w:p>
    <w:p>
      <w:pPr>
        <w:spacing w:after="120" w:line="276"/>
      </w:pPr>
      <w:r>
        <w:rPr>
          <w:rFonts w:ascii="Calibri" w:cs="Calibri" w:eastAsia="Calibri" w:hAnsi="Calibri"/>
        </w:rPr>
        <w:t xml:space="preserve">La section « Prospection commerciale » est ajoutée dans le fichier confidentialite.html livré avec ce document. Elle reprend la fiche de registre ci-dessus. Si tu changes de source de données ou de durée, mets le site à jour avant d'écrire aux prospects.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Conformité de la prospection (étape 2.7)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6"/>
      <w:szCs w:val="36"/>
    </w:rPr>
  </w:style>
  <w:style w:type="paragraph" w:styleId="Heading2">
    <w:name w:val="Heading 2"/>
    <w:basedOn w:val="Normal"/>
    <w:next w:val="Normal"/>
    <w:qFormat/>
    <w:pPr>
      <w:outlineLvl w:val="1"/>
    </w:pPr>
    <w:rPr>
      <w:rFonts w:ascii="Calibri" w:cs="Calibri" w:eastAsia="Calibri" w:hAnsi="Calibri"/>
      <w:b/>
      <w:bCs/>
      <w:color w:val="2E74B5"/>
      <w:sz w:val="27"/>
      <w:szCs w:val="27"/>
    </w:rPr>
  </w:style>
  <w:style w:type="paragraph" w:styleId="Heading3">
    <w:name w:val="Heading 3"/>
    <w:basedOn w:val="Normal"/>
    <w:next w:val="Normal"/>
    <w:qFormat/>
    <w:pPr>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Conformité de la prospection (étape 2.7)</dc:title>
  <dc:creator>P-A Ducoin</dc:creator>
  <cp:lastModifiedBy>Un-named</cp:lastModifiedBy>
  <cp:revision>1</cp:revision>
  <dcterms:created xsi:type="dcterms:W3CDTF">2026-10-10T13:18:11.232Z</dcterms:created>
  <dcterms:modified xsi:type="dcterms:W3CDTF">2026-10-10T13:18:11.232Z</dcterms:modified>
</cp:coreProperties>
</file>

<file path=docProps/custom.xml><?xml version="1.0" encoding="utf-8"?>
<Properties xmlns="http://schemas.openxmlformats.org/officeDocument/2006/custom-properties" xmlns:vt="http://schemas.openxmlformats.org/officeDocument/2006/docPropsVTypes"/>
</file>