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Plan de lancement : site et prospection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P-A Ducoin. Mis à jour le 14 octobre 2026.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Colonne Qui : Toi, Moi (Claude) ou les deux.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Couleur de la dernière colonne : </w:t>
      </w:r>
      <w:r>
        <w:rPr>
          <w:rFonts w:ascii="Calibri" w:cs="Calibri" w:eastAsia="Calibri" w:hAnsi="Calibri"/>
          <w:sz w:val="21"/>
          <w:szCs w:val="21"/>
          <w:shd w:fill="C6EFCE" w:color="auto" w:val="clear"/>
        </w:rPr>
        <w:t xml:space="preserve"> vert = Fait 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sz w:val="21"/>
          <w:szCs w:val="21"/>
          <w:shd w:fill="FFD699" w:color="auto" w:val="clear"/>
        </w:rPr>
        <w:t xml:space="preserve"> orange = En cours 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sz w:val="21"/>
          <w:szCs w:val="21"/>
          <w:shd w:fill="F4B0B0" w:color="auto" w:val="clear"/>
        </w:rPr>
        <w:t xml:space="preserve"> rouge = À faire 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Pour changer un statut, remplace le texte (Fait, En cours, À faire) et la couleur de fond de la case.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1. Mise en ligne du 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Renseigner nom, adresse, téléphone, SIRET, TVA et date dans les 5 pages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Nom, adresse, téléphone, SIRET, TVA (art. 293 B) et date renseignés.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1.1b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Email professionnel dans les 5 pages, les mentions légales et la confidentialité. Section médiateur remplacée par « clientèle exclusivement professionnelle ».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ducoin.co@gmail.com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Dépôt GitHub avec le contenu du site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AllYours-App/pa-ducoin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URL Formspree dans contact.html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formspree.io/f/xkolvzjo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Envoi de test du formulaire et validation de l'email de confirmation de Formspree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Test réussi.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Cloudflare Pages : compte, connexion au dépôt, commande de build vide, dossier de sortie à la racine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Adresse provisoire : pa-ducoin.ducoin-co.workers.dev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Outil de rendez-vous meetergo intégré dans contact.html (ligne 76)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Test de réservation réussi. Le calendrier se charge après l'affichage de la page (js/main.js), avec un lien de secours si JavaScript est désactivé.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1.6b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Régler meetergo : page en français, rendez-vous « Appel gratuit de 30 minutes », email de confirmation et rappel avant l'appel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Page, rendez-vous et email de confirmation en français. Rappel avant l'appel : à vérifier.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sitemap.xml, robots.txt, og:image et og:url avec l'adresse définitive, ajout du canonical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Domaine : ducoinweb.fr. Script appliqué (canonical, og:url, og:image absolue, données structurées, sitemap sans .html). Reste à envoyer les fichiers sur GitHub.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Mentions légales et confidentialité : hébergeur, Formspree, meetergo, durée des journaux et cookies renseignés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Aucun cookie constaté sur le site ni sur le calendrier. Section cookies de la politique de confidentialité renseignée, calendrier meetergo inclus.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Tests : téléphone, clavier, Lighthouse, cookies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Cookies, téléphone, clavier et PageSpeed Insights faits. Accueil à 100 partout ; contact à 89 en performance et 100 pour le reste.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Acheter le nom de domaine et le relier au site (Workers, section Domains &amp; Routes)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ducoinweb.fr acheté chez OVH, zone DNS sur Cloudflare, ducoinweb.fr et www.ducoinweb.fr reliés au Worker pa-ducoin, accès en HTTPS testé.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Search Console et fiche Google Business Profile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faire. Vérifier d'abord l'éligibilité à une fiche Google (voir 09-guide). Search Console : 1.10 est fait, reste l'envoi des fichiers de 1.7.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Vérifier les conditions d'usage commercial des outils : GitHub, Cloudflare, Formspree, outil de rendez-vous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Formspree : conditions complètes à lire par toi.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Délai de réponse annoncé après l'envoi du formulaire (contact.html)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(valeur), moi (intégration)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« Sous 48 heures ouvrées » intégré dans le message de confirmation de contact.html.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2. Prospection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Choisir la cible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Entreprises sans site web ayant besoin d'un site vitrine. Zone : France entière.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Numéro d'appel : appels manuels vers des professionnels depuis ton 07. Une ligne à numéro dédié n'est obligatoire que pour un composeur ou un système d'appel automatisé (décision ARCEP 2022-1583).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Décision prise. À faire valider par un juriste.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Constituer la liste de prospects professionnels : nom, activité, ville, site actuel, téléphone, email professionnel, source de la donnée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(collecte), moi (méthode)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Script prêt : 05-liste-sirene.py, testé sur une réponse simulée et pas sur l'API réelle. Reste : choisir les codes NAF (2.1), lancer le script, compléter site, téléphone et email à la main (Google Maps).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Emails : premier contact et deux relances, avec identification de l'expéditeur et moyen de s'opposer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3 emails et 2 réponses types : 01-emails-prospection.docx. Ajouter https://ducoinweb.fr en signature.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Script d'appel et réponses aux objections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02-script-appel.docx : déroulé, 11 réponses aux objections, message de répondeur.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Tableau de suivi des prospects et des rappels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 (structure), toi (remplissage)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Structure faite : 04-suivi-prospects.xlsx, avec relances et rappels calculés. Remplissage à ta charge.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Conformité de la prospection : information de la personne, droit d'opposition, liste des personnes opposées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 (rédaction), toi (validation)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Note rédigée : 03-conformite-prospection.docx. Section Prospection ajoutée à confidentialite.html, à mettre en ligne. À faire relire par un juriste.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3. Référencement (SEO)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Audit technique du site actuel et code à ajouter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Code généré par le script de 1.7 : canonical, og:url, og:image absolue, données structurées. Reste à l'envoyer sur GitHub.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Balises, canonical, Open Graph, données structurées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Pris en charge par le même script que 1.7, appliqué sur ducoinweb.fr. Reste à envoyer les fichiers sur GitHub.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Vitesse et accessibilité : Lighthouse, images, polices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4 polices préchargées dont Manrope 600, logo d'en-tête en priorité haute, logo du pied de page en chargement différé, calendrier chargé après l'affichage. Scores : voir 1.9.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Contenu : une page par intention de recherche, titres, textes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SEO local : Google Business Profile, annuaires, avis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 (guide), toi (actions)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Guide rédigé : 09-guide-google-business-profile-et-search-console.docx. Actions à ta charge, après vérification de l'éligibilité.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Liens entrants et suivi dans Search Console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 (guide), toi (actions)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Guide rédigé, dans le même fichier que 3.5. Actions à ta charge, après 1.7 et 1.10.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4. Contrats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Devis type, avec formule, options, délai, conditions de paiement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06-devis-type.docx rédigé. À confirmer par toi : acompte de 30 % à la signature, solde de 70 % à la mise en ligne.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Conditions générales de vente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07-cgv.docx, projet à faire relire en 4.5.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Contrat de prestation de création de site : étapes, délai de 5 jours, deux allers-retours, propriété, remise des accès, titulaire des comptes (domaine, hébergement, formulaire). Prévoir l'article L. 221-3 du Code de la consommation : un client de 5 salariés au plus peut bénéficier des règles de protection du consommateur pour un contrat conclu hors établissement, si le site sort de son activité principale.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08-contrat-prestation.docx, projet avec l'article L. 221-3 traité à l'article 9. À faire valider par un juriste en 4.5.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Clause de cession de droits : maquette, code, textes et photos fournis par le client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Fait. Cession de droits : article 8 de 08-contrat-prestation.docx. À faire valider en 4.5.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Relecture par un juriste ou un avocat avant toute signature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faire. Documents à envoyer : 03, 06, 07 et 08. Brouillon d'email de demande de relecture fourni dans le chat.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Facturation électronique : choisir une plateforme agréée pour recevoir les factures (obligatoire depuis le 1er septembre 2026) et pouvoir émettre tes factures B2B au format électronique à partir du 1er septembre 2027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faire. Urgent : la réception des factures électroniques est obligatoire depuis le 1er septembre 2026. Offres gratuites annoncées à comparer : Tiime, Dougs, Abby, Indy. Vérifier le statut sur la liste officielle des plateformes agréées (impots.gouv.fr).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5. Outils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Panorama des outils sans IA : code, maquette, site statique ou CMS, hébergement, formulaires, rendez-vous, statistiques, facturation, avec prix vérifiés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69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 cours. Récap des outils de mise en ligne fait dans le chat.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6. Procédure pour chaque client (à dupliquer)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Premier échange (appel gratuit) : activité du client, besoin, contenu existant, délai souhaité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Vérifier que le client est un professionnel : SIRET et nombre de salariés (article L. 221-3)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Envoyer le devis, les CGV et le contrat de prestation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faire. Modèles : 06-devis-type, 07-cgv, 08-contrat-prestation.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Signature du contrat et paiement de l'acompte. Si l'article L. 221-3 s'applique, pas de paiement avant sept jours après la signature.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 + 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Collecter les contenus du client : textes, logo, photos, coordonnées, SIRET, adresse, TVA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Vérifier les droits sur les textes et les photos fournis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Acheter le nom de domaine au nom du client (voir procédure de la phase 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 + 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Créer les comptes au nom du client (article 6 du contrat) : GitHub, Cloudflare, Formspree, outil de rendez-vous si besoin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Valider avec le client la liste des pages et leur contenu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Construire le site à partir du modèle : couleurs, deux polices, contenus réels, aucun texte provisoire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Adapter les mentions légales et la politique de confidentialité (éditeur, hébergeur, outils utilisés)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Brancher le formulaire (Formspree du client) et faire un envoi de test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Envoyer le code sur GitHub et déployer sur Cloudflare à l'adresse provisoire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Relier le domaine (voir phase 7), puis mettre à jour sitemap.xml, robots.txt, canonical, og:url et og:image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Contrôles avant livraison : cookies, clavier, mobile, Lighthouse (voir phase 8)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Validation par le client, avec les deux allers-retours prévus au contrat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Facturer le solde (facture électronique à partir du 1er septembre 2027)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Remettre les accès (domaine, hébergeur, dépôt, formulaire) et un mode d'emploi court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6.19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Créer la fiche Google Business Profile et déclarer le site dans Google Search Console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6.20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Prévoir au contrat le renouvellement annuel du domaine et la maintenance éventuelle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7. Procédure : acheter un nom de domaine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Choisir le nom avec le client : court, proche de l'activité, sans accent. Vérifier qu'il ne reprend pas une marque existante.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Choisir l'extension : .fr pour une clientèle française, .com sinon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Choisir le registrar : OVHcloud pour un .fr, Cloudflare Registrar pour un .com (Cloudflare ne vend pas le .fr)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Créer le compte chez le registrar au nom du client : son email, ses coordonnées, son SIRET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 (avec toi)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Rechercher le nom, vérifier qu'il est disponible, acheter. Le client paie, ou tu paies et tu refactures.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 ou 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Valider l'email de vérification du titulaire. Sans validation, un domaine acheté chez Cloudflare peut être suspendu.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Activer l'authentification à deux facteurs et le renouvellement automatique si le registrar les propose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Client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Ajouter le domaine à Cloudflare (gratuit), puis remplacer les serveurs de noms chez le registrar par ceux indiqués par Cloudflare. Inutile pour un domaine acheté chez Cloudflare.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faire. Chez OVH, désactiver DNSSEC avant de changer les serveurs de noms, sinon erreur « not authorized to update DS data ». Dans Cloudflare, supprimer les A et CNAME importés d'OVH et garder les MX et le SPF.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Attendre que le domaine soit actif dans Cloudflare, puis le relier au site (Settings, Domains &amp; Routes)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7.10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Vérifier que le site répond en HTTPS sur le nouveau domaine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Phase 8. Procédure : vérifier les performances d'un 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5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et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Mettre le site en ligne à son adresse définitive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Dans Chrome : F12, onglet Lighthouse, Device sur Mobile, cocher les quatre catégories, lancer l'analyse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Lire les quatre scores (performance, accessibilité, bonnes pratiques, SEO). L'objectif est le vert, 90 et plus.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Dans Accessibilité, ouvrir la liste des échecs : le contraste (4,5:1) y est vérifié automatiquement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Enregistrer chaque rapport (menu à trois points, Save as JSON), un fichier par page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 transmettre les fichiers : je corrige le 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 + moi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Remettre en ligne et relancer l'analyse, puis la refaire avec Device sur Desktop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8.8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Tests manuels : cookies (Stockage dans Firefox), clavier, téléphone réel, mode adaptatif de 320 à 1440 px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Toi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B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À faire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2026-10-10T10:26:44.668Z</dcterms:created>
  <dcterms:modified xsi:type="dcterms:W3CDTF">2026-10-10T10:26:44.675Z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