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9FB" w:rsidRPr="00C109FB" w:rsidRDefault="00C109FB" w:rsidP="00C109FB">
      <w:pPr>
        <w:shd w:val="clear" w:color="auto" w:fill="1F3A4B"/>
        <w:spacing w:after="96" w:line="240" w:lineRule="auto"/>
        <w:outlineLvl w:val="1"/>
        <w:rPr>
          <w:rFonts w:ascii="Segoe UI" w:eastAsia="Times New Roman" w:hAnsi="Segoe UI" w:cs="Segoe UI"/>
          <w:b/>
          <w:bCs/>
          <w:color w:val="FBF9F8"/>
          <w:sz w:val="36"/>
          <w:szCs w:val="36"/>
        </w:rPr>
      </w:pPr>
      <w:r w:rsidRPr="00C109FB">
        <w:rPr>
          <w:rFonts w:ascii="Segoe UI" w:eastAsia="Times New Roman" w:hAnsi="Segoe UI" w:cs="Segoe UI"/>
          <w:b/>
          <w:bCs/>
          <w:color w:val="FBF9F8"/>
          <w:sz w:val="36"/>
          <w:szCs w:val="36"/>
        </w:rPr>
        <w:t>Oracle Cloud Infrastructure vs. AWS</w:t>
      </w:r>
    </w:p>
    <w:p w:rsidR="00C109FB" w:rsidRDefault="00C109FB" w:rsidP="00C109FB">
      <w:pPr>
        <w:shd w:val="clear" w:color="auto" w:fill="1F3A4B"/>
        <w:spacing w:after="480" w:line="240" w:lineRule="auto"/>
      </w:pPr>
      <w:r w:rsidRPr="00C109FB">
        <w:rPr>
          <w:rFonts w:ascii="Segoe UI" w:eastAsia="Times New Roman" w:hAnsi="Segoe UI" w:cs="Segoe UI"/>
          <w:color w:val="FBF9F8"/>
          <w:sz w:val="15"/>
          <w:szCs w:val="15"/>
        </w:rPr>
        <w:t xml:space="preserve">Oracle Cloud Infrastructure is built for enterprises looking for higher performance, consistently lower costs, and easier cloud migration for their existing on-premises applications. Oracle Cloud Infrastructure is consistently less expensive than AWS for a wide range of popular cloud workloads for several reasons: </w:t>
      </w:r>
    </w:p>
    <w:p w:rsidR="00C109FB" w:rsidRPr="00C109FB" w:rsidRDefault="00C109FB" w:rsidP="00C109FB">
      <w:pPr>
        <w:pStyle w:val="ListParagraph"/>
        <w:numPr>
          <w:ilvl w:val="0"/>
          <w:numId w:val="1"/>
        </w:numPr>
        <w:rPr>
          <w:b/>
        </w:rPr>
      </w:pPr>
      <w:r w:rsidRPr="00C109FB">
        <w:rPr>
          <w:b/>
        </w:rPr>
        <w:t xml:space="preserve">First, in the area of networking, charges for outbound bandwidth are 74% less expensive than AWS. </w:t>
      </w:r>
    </w:p>
    <w:p w:rsidR="00C109FB" w:rsidRPr="00C109FB" w:rsidRDefault="00C109FB" w:rsidP="00C109FB">
      <w:pPr>
        <w:pStyle w:val="ListParagraph"/>
        <w:rPr>
          <w:b/>
          <w:sz w:val="28"/>
          <w:szCs w:val="28"/>
        </w:rPr>
      </w:pPr>
      <w:r w:rsidRPr="00C109FB">
        <w:rPr>
          <w:b/>
          <w:sz w:val="28"/>
          <w:szCs w:val="28"/>
        </w:rPr>
        <w:t>1/4</w:t>
      </w:r>
      <w:r w:rsidRPr="00C109FB">
        <w:rPr>
          <w:b/>
          <w:sz w:val="28"/>
          <w:szCs w:val="28"/>
        </w:rPr>
        <w:t xml:space="preserve">- </w:t>
      </w:r>
      <w:r w:rsidRPr="00C109FB">
        <w:rPr>
          <w:b/>
          <w:sz w:val="28"/>
          <w:szCs w:val="28"/>
        </w:rPr>
        <w:t>the cost for outbound bandwidth</w:t>
      </w:r>
    </w:p>
    <w:p w:rsidR="00C109FB" w:rsidRPr="00C109FB" w:rsidRDefault="00C109FB" w:rsidP="00C109FB">
      <w:pPr>
        <w:pStyle w:val="ListParagraph"/>
        <w:rPr>
          <w:b/>
        </w:rPr>
      </w:pPr>
    </w:p>
    <w:p w:rsidR="00C109FB" w:rsidRPr="00C109FB" w:rsidRDefault="00C109FB" w:rsidP="00C109FB">
      <w:pPr>
        <w:pStyle w:val="ListParagraph"/>
        <w:numPr>
          <w:ilvl w:val="0"/>
          <w:numId w:val="1"/>
        </w:numPr>
      </w:pPr>
      <w:r w:rsidRPr="00C109FB">
        <w:rPr>
          <w:b/>
        </w:rPr>
        <w:t xml:space="preserve">Second, for compute, Oracle delivers &gt;2x better price/performance over AWS for general purpose and memory-optimized instances. </w:t>
      </w:r>
    </w:p>
    <w:p w:rsidR="00C109FB" w:rsidRPr="00C109FB" w:rsidRDefault="00C109FB" w:rsidP="00C109FB">
      <w:pPr>
        <w:pStyle w:val="ListParagraph"/>
        <w:rPr>
          <w:b/>
          <w:sz w:val="28"/>
          <w:szCs w:val="28"/>
        </w:rPr>
      </w:pPr>
      <w:r w:rsidRPr="00C109FB">
        <w:rPr>
          <w:b/>
          <w:sz w:val="28"/>
          <w:szCs w:val="28"/>
        </w:rPr>
        <w:t>&gt; 2x - better compute price/performance</w:t>
      </w:r>
    </w:p>
    <w:p w:rsidR="00C109FB" w:rsidRPr="00C109FB" w:rsidRDefault="00C109FB" w:rsidP="00C109FB">
      <w:pPr>
        <w:pStyle w:val="ListParagraph"/>
        <w:rPr>
          <w:b/>
        </w:rPr>
      </w:pPr>
    </w:p>
    <w:p w:rsidR="00C109FB" w:rsidRDefault="00C109FB" w:rsidP="00C109FB">
      <w:pPr>
        <w:pStyle w:val="ListParagraph"/>
        <w:numPr>
          <w:ilvl w:val="0"/>
          <w:numId w:val="1"/>
        </w:numPr>
        <w:rPr>
          <w:b/>
        </w:rPr>
      </w:pPr>
      <w:r w:rsidRPr="00C109FB">
        <w:rPr>
          <w:b/>
        </w:rPr>
        <w:t>Third, for HPC workloads, AWS provides similar performance to Oracle, but is 44% more expensive and provides no local SSDs, half the RAM, no RDMA networking, and no performance SLA.</w:t>
      </w:r>
    </w:p>
    <w:p w:rsidR="00C109FB" w:rsidRPr="00C109FB" w:rsidRDefault="00C109FB" w:rsidP="00C109FB">
      <w:pPr>
        <w:pStyle w:val="ListParagraph"/>
        <w:rPr>
          <w:b/>
          <w:sz w:val="28"/>
          <w:szCs w:val="28"/>
        </w:rPr>
      </w:pPr>
      <w:r w:rsidRPr="00C109FB">
        <w:rPr>
          <w:b/>
          <w:sz w:val="28"/>
          <w:szCs w:val="28"/>
        </w:rPr>
        <w:t>44% - lower compute costs for HPC</w:t>
      </w:r>
    </w:p>
    <w:p w:rsidR="00C109FB" w:rsidRDefault="00C109FB" w:rsidP="00C109FB">
      <w:pPr>
        <w:pStyle w:val="ListParagraph"/>
        <w:rPr>
          <w:b/>
        </w:rPr>
      </w:pPr>
    </w:p>
    <w:p w:rsidR="00C109FB" w:rsidRPr="00C109FB" w:rsidRDefault="00C109FB" w:rsidP="00C109FB">
      <w:pPr>
        <w:pStyle w:val="ListParagraph"/>
        <w:numPr>
          <w:ilvl w:val="0"/>
          <w:numId w:val="1"/>
        </w:numPr>
        <w:rPr>
          <w:b/>
        </w:rPr>
      </w:pPr>
      <w:r w:rsidRPr="00C109FB">
        <w:rPr>
          <w:b/>
        </w:rPr>
        <w:t>Lastly, for block storage, Oracle offers as much as 20x the IOPS performance of AWS for less than half the cost. Read below for more information on how customers are saving money with Oracle Cloud Infrastructure.</w:t>
      </w:r>
    </w:p>
    <w:p w:rsidR="00C109FB" w:rsidRDefault="00C109FB" w:rsidP="00C109FB">
      <w:pPr>
        <w:pStyle w:val="ListParagraph"/>
        <w:rPr>
          <w:b/>
          <w:sz w:val="28"/>
          <w:szCs w:val="28"/>
        </w:rPr>
      </w:pPr>
      <w:r w:rsidRPr="00C109FB">
        <w:rPr>
          <w:b/>
          <w:sz w:val="28"/>
          <w:szCs w:val="28"/>
        </w:rPr>
        <w:t xml:space="preserve">20x the IOPS for half the price </w:t>
      </w:r>
    </w:p>
    <w:p w:rsidR="00C109FB" w:rsidRPr="00C109FB" w:rsidRDefault="00C109FB" w:rsidP="00C109FB">
      <w:pPr>
        <w:pStyle w:val="ListParagraph"/>
        <w:rPr>
          <w:b/>
          <w:sz w:val="28"/>
          <w:szCs w:val="28"/>
        </w:rPr>
      </w:pPr>
    </w:p>
    <w:p w:rsidR="00C109FB" w:rsidRPr="00C109FB" w:rsidRDefault="00C109FB" w:rsidP="00C109FB">
      <w:pPr>
        <w:shd w:val="clear" w:color="auto" w:fill="1F3A4B"/>
        <w:spacing w:after="96" w:line="240" w:lineRule="auto"/>
        <w:outlineLvl w:val="1"/>
        <w:rPr>
          <w:rFonts w:ascii="Segoe UI" w:eastAsia="Times New Roman" w:hAnsi="Segoe UI" w:cs="Segoe UI"/>
          <w:b/>
          <w:bCs/>
          <w:color w:val="FBF9F8"/>
          <w:sz w:val="36"/>
          <w:szCs w:val="36"/>
        </w:rPr>
      </w:pPr>
      <w:r>
        <w:rPr>
          <w:rFonts w:ascii="Segoe UI" w:eastAsia="Times New Roman" w:hAnsi="Segoe UI" w:cs="Segoe UI"/>
          <w:b/>
          <w:bCs/>
          <w:color w:val="FBF9F8"/>
          <w:sz w:val="36"/>
          <w:szCs w:val="36"/>
        </w:rPr>
        <w:t>Oracle Cloud Workload Estimator</w:t>
      </w:r>
    </w:p>
    <w:p w:rsidR="00C109FB" w:rsidRPr="00C109FB" w:rsidRDefault="00C109FB" w:rsidP="00C109FB"/>
    <w:p w:rsidR="00C109FB" w:rsidRPr="00CE3F73" w:rsidRDefault="00C109FB" w:rsidP="00C109FB">
      <w:pPr>
        <w:rPr>
          <w:b/>
        </w:rPr>
      </w:pPr>
      <w:r w:rsidRPr="00CE3F73">
        <w:rPr>
          <w:b/>
        </w:rPr>
        <w:t xml:space="preserve"> Oracle designed our Gen 2 Infrastructure to be fast, efficient and priced competitively. While we are competitive across all our services, there are several scenarios where pricing differences are significant. Start with one of our scenarios or build your own to see how we compare to AWS for your key workloads.</w:t>
      </w:r>
    </w:p>
    <w:p w:rsidR="00C109FB" w:rsidRDefault="00C109FB" w:rsidP="00C109FB">
      <w:r>
        <w:lastRenderedPageBreak/>
        <w:t xml:space="preserve">   </w:t>
      </w:r>
      <w:r w:rsidR="00CE3F73">
        <w:rPr>
          <w:noProof/>
        </w:rPr>
        <w:drawing>
          <wp:inline distT="0" distB="0" distL="0" distR="0">
            <wp:extent cx="2580849" cy="18083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81088" cy="1808495"/>
                    </a:xfrm>
                    <a:prstGeom prst="rect">
                      <a:avLst/>
                    </a:prstGeom>
                    <a:noFill/>
                    <a:ln w="9525">
                      <a:noFill/>
                      <a:miter lim="800000"/>
                      <a:headEnd/>
                      <a:tailEnd/>
                    </a:ln>
                  </pic:spPr>
                </pic:pic>
              </a:graphicData>
            </a:graphic>
          </wp:inline>
        </w:drawing>
      </w:r>
      <w:r w:rsidR="00CE3F73">
        <w:rPr>
          <w:noProof/>
        </w:rPr>
        <w:drawing>
          <wp:inline distT="0" distB="0" distL="0" distR="0">
            <wp:extent cx="2574024" cy="180832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573829" cy="1808191"/>
                    </a:xfrm>
                    <a:prstGeom prst="rect">
                      <a:avLst/>
                    </a:prstGeom>
                    <a:noFill/>
                    <a:ln w="9525">
                      <a:noFill/>
                      <a:miter lim="800000"/>
                      <a:headEnd/>
                      <a:tailEnd/>
                    </a:ln>
                  </pic:spPr>
                </pic:pic>
              </a:graphicData>
            </a:graphic>
          </wp:inline>
        </w:drawing>
      </w:r>
    </w:p>
    <w:p w:rsidR="00CE3F73" w:rsidRDefault="00CE3F73" w:rsidP="00C109FB">
      <w:r>
        <w:rPr>
          <w:noProof/>
        </w:rPr>
        <w:drawing>
          <wp:inline distT="0" distB="0" distL="0" distR="0">
            <wp:extent cx="2695433" cy="20403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695724" cy="2040560"/>
                    </a:xfrm>
                    <a:prstGeom prst="rect">
                      <a:avLst/>
                    </a:prstGeom>
                    <a:noFill/>
                    <a:ln w="9525">
                      <a:noFill/>
                      <a:miter lim="800000"/>
                      <a:headEnd/>
                      <a:tailEnd/>
                    </a:ln>
                  </pic:spPr>
                </pic:pic>
              </a:graphicData>
            </a:graphic>
          </wp:inline>
        </w:drawing>
      </w:r>
      <w:r>
        <w:rPr>
          <w:noProof/>
        </w:rPr>
        <w:drawing>
          <wp:inline distT="0" distB="0" distL="0" distR="0">
            <wp:extent cx="2553553" cy="20403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553821" cy="2040554"/>
                    </a:xfrm>
                    <a:prstGeom prst="rect">
                      <a:avLst/>
                    </a:prstGeom>
                    <a:noFill/>
                    <a:ln w="9525">
                      <a:noFill/>
                      <a:miter lim="800000"/>
                      <a:headEnd/>
                      <a:tailEnd/>
                    </a:ln>
                  </pic:spPr>
                </pic:pic>
              </a:graphicData>
            </a:graphic>
          </wp:inline>
        </w:drawing>
      </w:r>
    </w:p>
    <w:p w:rsidR="00CE3F73" w:rsidRDefault="00CE3F73" w:rsidP="00C109FB"/>
    <w:p w:rsidR="00CE3F73" w:rsidRPr="00C109FB" w:rsidRDefault="00CE3F73" w:rsidP="00CE3F73">
      <w:pPr>
        <w:shd w:val="clear" w:color="auto" w:fill="1F3A4B"/>
        <w:spacing w:after="96" w:line="240" w:lineRule="auto"/>
        <w:outlineLvl w:val="1"/>
        <w:rPr>
          <w:rFonts w:ascii="Segoe UI" w:eastAsia="Times New Roman" w:hAnsi="Segoe UI" w:cs="Segoe UI"/>
          <w:b/>
          <w:bCs/>
          <w:color w:val="FBF9F8"/>
          <w:sz w:val="36"/>
          <w:szCs w:val="36"/>
        </w:rPr>
      </w:pPr>
      <w:r>
        <w:rPr>
          <w:rFonts w:ascii="Segoe UI" w:eastAsia="Times New Roman" w:hAnsi="Segoe UI" w:cs="Segoe UI"/>
          <w:b/>
          <w:bCs/>
          <w:color w:val="FBF9F8"/>
          <w:sz w:val="36"/>
          <w:szCs w:val="36"/>
        </w:rPr>
        <w:t>8x8 saves 80% in network egress costs</w:t>
      </w:r>
    </w:p>
    <w:p w:rsidR="00CE3F73" w:rsidRDefault="00CE3F73" w:rsidP="00CE3F73">
      <w:pPr>
        <w:pStyle w:val="NormalWeb"/>
        <w:shd w:val="clear" w:color="auto" w:fill="FFFFFF"/>
        <w:spacing w:before="0" w:beforeAutospacing="0" w:after="0" w:afterAutospacing="0"/>
        <w:rPr>
          <w:rFonts w:ascii="Segoe UI" w:hAnsi="Segoe UI" w:cs="Segoe UI"/>
          <w:b/>
          <w:bCs/>
          <w:color w:val="000000"/>
          <w:sz w:val="36"/>
          <w:szCs w:val="36"/>
        </w:rPr>
      </w:pPr>
    </w:p>
    <w:p w:rsidR="00CE3F73" w:rsidRPr="00CE3F73" w:rsidRDefault="00CE3F73" w:rsidP="00CE3F73">
      <w:pPr>
        <w:pStyle w:val="Heading1"/>
        <w:shd w:val="clear" w:color="auto" w:fill="FFFFFF"/>
        <w:spacing w:before="0" w:after="228"/>
        <w:rPr>
          <w:rFonts w:ascii="Cambria" w:hAnsi="Cambria" w:cs="Segoe UI"/>
          <w:color w:val="161513"/>
          <w:sz w:val="22"/>
          <w:szCs w:val="22"/>
        </w:rPr>
      </w:pPr>
      <w:r w:rsidRPr="00CE3F73">
        <w:rPr>
          <w:rFonts w:ascii="Cambria" w:hAnsi="Cambria" w:cs="Segoe UI"/>
          <w:color w:val="161513"/>
          <w:sz w:val="22"/>
          <w:szCs w:val="22"/>
        </w:rPr>
        <w:t>8x8 Selects Oracle as the Cloud Platform for its Secure Video Meeting Solutions</w:t>
      </w:r>
    </w:p>
    <w:p w:rsidR="00CE3F73" w:rsidRDefault="00CE3F73" w:rsidP="00CE3F73">
      <w:pPr>
        <w:pStyle w:val="Heading2"/>
        <w:shd w:val="clear" w:color="auto" w:fill="FFFFFF"/>
        <w:spacing w:before="0" w:beforeAutospacing="0" w:after="0" w:afterAutospacing="0"/>
        <w:rPr>
          <w:rFonts w:ascii="Cambria" w:hAnsi="Cambria" w:cs="Segoe UI"/>
          <w:color w:val="514C47"/>
          <w:sz w:val="22"/>
          <w:szCs w:val="22"/>
        </w:rPr>
      </w:pPr>
      <w:r w:rsidRPr="00CE3F73">
        <w:rPr>
          <w:rFonts w:ascii="Cambria" w:hAnsi="Cambria" w:cs="Segoe UI"/>
          <w:color w:val="514C47"/>
          <w:sz w:val="22"/>
          <w:szCs w:val="22"/>
        </w:rPr>
        <w:t>Powers meetings for millions of users at public and private organizations of every size</w:t>
      </w:r>
      <w:r w:rsidRPr="00CE3F73">
        <w:rPr>
          <w:rFonts w:ascii="Cambria" w:hAnsi="Cambria" w:cs="Segoe UI"/>
          <w:color w:val="514C47"/>
          <w:sz w:val="22"/>
          <w:szCs w:val="22"/>
        </w:rPr>
        <w:br/>
      </w:r>
      <w:r w:rsidRPr="00CE3F73">
        <w:rPr>
          <w:rFonts w:ascii="Cambria" w:hAnsi="Cambria" w:cs="Segoe UI"/>
          <w:color w:val="514C47"/>
          <w:sz w:val="22"/>
          <w:szCs w:val="22"/>
        </w:rPr>
        <w:br/>
        <w:t>Moved video meeting services from AWS for performance enhancements while saving more than 80 percent</w:t>
      </w:r>
      <w:r w:rsidRPr="00CE3F73">
        <w:rPr>
          <w:rFonts w:ascii="Cambria" w:hAnsi="Cambria" w:cs="Segoe UI"/>
          <w:color w:val="514C47"/>
          <w:sz w:val="22"/>
          <w:szCs w:val="22"/>
        </w:rPr>
        <w:br/>
      </w:r>
      <w:r w:rsidRPr="00CE3F73">
        <w:rPr>
          <w:rFonts w:ascii="Cambria" w:hAnsi="Cambria" w:cs="Segoe UI"/>
          <w:color w:val="514C47"/>
          <w:sz w:val="22"/>
          <w:szCs w:val="22"/>
        </w:rPr>
        <w:br/>
        <w:t>8x8 solutions available in the Oracle Cloud</w:t>
      </w:r>
    </w:p>
    <w:p w:rsidR="00C72539" w:rsidRDefault="00C72539" w:rsidP="00CE3F73">
      <w:pPr>
        <w:pStyle w:val="Heading2"/>
        <w:shd w:val="clear" w:color="auto" w:fill="FFFFFF"/>
        <w:spacing w:before="0" w:beforeAutospacing="0" w:after="0" w:afterAutospacing="0"/>
        <w:rPr>
          <w:rFonts w:ascii="Cambria" w:hAnsi="Cambria" w:cs="Segoe UI"/>
          <w:color w:val="514C47"/>
          <w:sz w:val="22"/>
          <w:szCs w:val="22"/>
        </w:rPr>
      </w:pPr>
    </w:p>
    <w:p w:rsidR="00C72539" w:rsidRDefault="00C72539" w:rsidP="00CE3F73">
      <w:pPr>
        <w:pStyle w:val="Heading2"/>
        <w:shd w:val="clear" w:color="auto" w:fill="FFFFFF"/>
        <w:spacing w:before="0" w:beforeAutospacing="0" w:after="0" w:afterAutospacing="0"/>
        <w:rPr>
          <w:rFonts w:ascii="Cambria" w:hAnsi="Cambria" w:cs="Segoe UI"/>
          <w:color w:val="514C47"/>
          <w:sz w:val="22"/>
          <w:szCs w:val="22"/>
        </w:rPr>
      </w:pPr>
    </w:p>
    <w:p w:rsidR="00C72539" w:rsidRDefault="00C72539" w:rsidP="00CE3F73">
      <w:pPr>
        <w:pStyle w:val="Heading2"/>
        <w:shd w:val="clear" w:color="auto" w:fill="FFFFFF"/>
        <w:spacing w:before="0" w:beforeAutospacing="0" w:after="0" w:afterAutospacing="0"/>
        <w:rPr>
          <w:rFonts w:ascii="Cambria" w:hAnsi="Cambria" w:cs="Segoe UI"/>
          <w:color w:val="514C47"/>
          <w:sz w:val="22"/>
          <w:szCs w:val="22"/>
        </w:rPr>
      </w:pPr>
    </w:p>
    <w:p w:rsidR="00C72539" w:rsidRDefault="00C72539" w:rsidP="00CE3F73">
      <w:pPr>
        <w:pStyle w:val="Heading2"/>
        <w:shd w:val="clear" w:color="auto" w:fill="FFFFFF"/>
        <w:spacing w:before="0" w:beforeAutospacing="0" w:after="0" w:afterAutospacing="0"/>
        <w:rPr>
          <w:rFonts w:ascii="Cambria" w:hAnsi="Cambria" w:cs="Segoe UI"/>
          <w:color w:val="514C47"/>
          <w:sz w:val="22"/>
          <w:szCs w:val="22"/>
        </w:rPr>
      </w:pPr>
    </w:p>
    <w:p w:rsidR="00C72539" w:rsidRDefault="00C72539" w:rsidP="00CE3F73">
      <w:pPr>
        <w:pStyle w:val="Heading2"/>
        <w:shd w:val="clear" w:color="auto" w:fill="FFFFFF"/>
        <w:spacing w:before="0" w:beforeAutospacing="0" w:after="0" w:afterAutospacing="0"/>
        <w:rPr>
          <w:rFonts w:ascii="Cambria" w:hAnsi="Cambria" w:cs="Segoe UI"/>
          <w:color w:val="514C47"/>
          <w:sz w:val="22"/>
          <w:szCs w:val="22"/>
        </w:rPr>
      </w:pPr>
    </w:p>
    <w:p w:rsidR="00C72539" w:rsidRDefault="00C72539" w:rsidP="00CE3F73">
      <w:pPr>
        <w:pStyle w:val="Heading2"/>
        <w:shd w:val="clear" w:color="auto" w:fill="FFFFFF"/>
        <w:spacing w:before="0" w:beforeAutospacing="0" w:after="0" w:afterAutospacing="0"/>
        <w:rPr>
          <w:rFonts w:ascii="Cambria" w:hAnsi="Cambria" w:cs="Segoe UI"/>
          <w:color w:val="514C47"/>
          <w:sz w:val="22"/>
          <w:szCs w:val="22"/>
        </w:rPr>
      </w:pPr>
    </w:p>
    <w:p w:rsidR="00C72539" w:rsidRDefault="00C72539" w:rsidP="00CE3F73">
      <w:pPr>
        <w:pStyle w:val="Heading2"/>
        <w:shd w:val="clear" w:color="auto" w:fill="FFFFFF"/>
        <w:spacing w:before="0" w:beforeAutospacing="0" w:after="0" w:afterAutospacing="0"/>
        <w:rPr>
          <w:rFonts w:ascii="Cambria" w:hAnsi="Cambria" w:cs="Segoe UI"/>
          <w:color w:val="514C47"/>
          <w:sz w:val="22"/>
          <w:szCs w:val="22"/>
        </w:rPr>
      </w:pPr>
    </w:p>
    <w:p w:rsidR="00C72539" w:rsidRDefault="00C72539" w:rsidP="00CE3F73">
      <w:pPr>
        <w:pStyle w:val="Heading2"/>
        <w:shd w:val="clear" w:color="auto" w:fill="FFFFFF"/>
        <w:spacing w:before="0" w:beforeAutospacing="0" w:after="0" w:afterAutospacing="0"/>
        <w:rPr>
          <w:rFonts w:ascii="Cambria" w:hAnsi="Cambria" w:cs="Segoe UI"/>
          <w:color w:val="514C47"/>
          <w:sz w:val="22"/>
          <w:szCs w:val="22"/>
        </w:rPr>
      </w:pPr>
    </w:p>
    <w:p w:rsidR="00C72539" w:rsidRDefault="00C72539" w:rsidP="00CE3F73">
      <w:pPr>
        <w:pStyle w:val="Heading2"/>
        <w:shd w:val="clear" w:color="auto" w:fill="FFFFFF"/>
        <w:spacing w:before="0" w:beforeAutospacing="0" w:after="0" w:afterAutospacing="0"/>
        <w:rPr>
          <w:rFonts w:ascii="Cambria" w:hAnsi="Cambria" w:cs="Segoe UI"/>
          <w:color w:val="514C47"/>
          <w:sz w:val="22"/>
          <w:szCs w:val="22"/>
        </w:rPr>
      </w:pPr>
    </w:p>
    <w:p w:rsidR="00BD5797" w:rsidRPr="00C72539" w:rsidRDefault="00C72539" w:rsidP="00C72539">
      <w:pPr>
        <w:shd w:val="clear" w:color="auto" w:fill="1F3A4B"/>
        <w:spacing w:after="96" w:line="240" w:lineRule="auto"/>
        <w:outlineLvl w:val="1"/>
        <w:rPr>
          <w:rFonts w:ascii="Segoe UI" w:eastAsia="Times New Roman" w:hAnsi="Segoe UI" w:cs="Segoe UI"/>
          <w:b/>
          <w:bCs/>
          <w:color w:val="FBF9F8"/>
          <w:sz w:val="36"/>
          <w:szCs w:val="36"/>
        </w:rPr>
      </w:pPr>
      <w:r>
        <w:rPr>
          <w:rFonts w:ascii="Segoe UI" w:eastAsia="Times New Roman" w:hAnsi="Segoe UI" w:cs="Segoe UI"/>
          <w:b/>
          <w:bCs/>
          <w:color w:val="FBF9F8"/>
          <w:sz w:val="36"/>
          <w:szCs w:val="36"/>
        </w:rPr>
        <w:lastRenderedPageBreak/>
        <w:t>Private connectivity: simple fixed monthly price includes unlimited data transfer</w:t>
      </w:r>
    </w:p>
    <w:tbl>
      <w:tblPr>
        <w:tblW w:w="12756" w:type="dxa"/>
        <w:jc w:val="center"/>
        <w:tblCellMar>
          <w:left w:w="0" w:type="dxa"/>
          <w:right w:w="0" w:type="dxa"/>
        </w:tblCellMar>
        <w:tblLook w:val="04A0"/>
      </w:tblPr>
      <w:tblGrid>
        <w:gridCol w:w="2424"/>
        <w:gridCol w:w="2040"/>
        <w:gridCol w:w="3162"/>
        <w:gridCol w:w="2838"/>
        <w:gridCol w:w="2292"/>
      </w:tblGrid>
      <w:tr w:rsidR="00C72539" w:rsidTr="00C72539">
        <w:trPr>
          <w:tblHeader/>
          <w:jc w:val="center"/>
        </w:trPr>
        <w:tc>
          <w:tcPr>
            <w:tcW w:w="0" w:type="auto"/>
            <w:tcMar>
              <w:top w:w="332" w:type="dxa"/>
              <w:left w:w="332" w:type="dxa"/>
              <w:bottom w:w="332" w:type="dxa"/>
              <w:right w:w="332" w:type="dxa"/>
            </w:tcMar>
            <w:vAlign w:val="center"/>
            <w:hideMark/>
          </w:tcPr>
          <w:p w:rsidR="00BD5797" w:rsidRDefault="00BD5797">
            <w:pPr>
              <w:rPr>
                <w:b/>
                <w:bCs/>
                <w:sz w:val="24"/>
                <w:szCs w:val="24"/>
              </w:rPr>
            </w:pPr>
            <w:r>
              <w:rPr>
                <w:b/>
                <w:bCs/>
              </w:rPr>
              <w:t>% Utilization of 10Gbps connection</w:t>
            </w:r>
          </w:p>
        </w:tc>
        <w:tc>
          <w:tcPr>
            <w:tcW w:w="0" w:type="auto"/>
            <w:tcMar>
              <w:top w:w="332" w:type="dxa"/>
              <w:left w:w="332" w:type="dxa"/>
              <w:bottom w:w="332" w:type="dxa"/>
              <w:right w:w="332" w:type="dxa"/>
            </w:tcMar>
            <w:vAlign w:val="center"/>
            <w:hideMark/>
          </w:tcPr>
          <w:p w:rsidR="00BD5797" w:rsidRDefault="00BD5797">
            <w:pPr>
              <w:rPr>
                <w:b/>
                <w:bCs/>
                <w:sz w:val="24"/>
                <w:szCs w:val="24"/>
              </w:rPr>
            </w:pPr>
            <w:r>
              <w:rPr>
                <w:b/>
                <w:bCs/>
              </w:rPr>
              <w:t>TB/Month transferred</w:t>
            </w:r>
          </w:p>
        </w:tc>
        <w:tc>
          <w:tcPr>
            <w:tcW w:w="0" w:type="auto"/>
            <w:tcMar>
              <w:top w:w="332" w:type="dxa"/>
              <w:left w:w="332" w:type="dxa"/>
              <w:bottom w:w="332" w:type="dxa"/>
              <w:right w:w="332" w:type="dxa"/>
            </w:tcMar>
            <w:vAlign w:val="center"/>
            <w:hideMark/>
          </w:tcPr>
          <w:p w:rsidR="00BD5797" w:rsidRDefault="00BD5797">
            <w:pPr>
              <w:rPr>
                <w:b/>
                <w:bCs/>
                <w:sz w:val="24"/>
                <w:szCs w:val="24"/>
              </w:rPr>
            </w:pPr>
            <w:r>
              <w:rPr>
                <w:b/>
                <w:bCs/>
              </w:rPr>
              <w:t>Oracle Cloud Infrastructure FastConnect price/month</w:t>
            </w:r>
          </w:p>
        </w:tc>
        <w:tc>
          <w:tcPr>
            <w:tcW w:w="0" w:type="auto"/>
            <w:tcMar>
              <w:top w:w="332" w:type="dxa"/>
              <w:left w:w="332" w:type="dxa"/>
              <w:bottom w:w="332" w:type="dxa"/>
              <w:right w:w="332" w:type="dxa"/>
            </w:tcMar>
            <w:vAlign w:val="center"/>
            <w:hideMark/>
          </w:tcPr>
          <w:p w:rsidR="00BD5797" w:rsidRDefault="00BD5797">
            <w:pPr>
              <w:rPr>
                <w:b/>
                <w:bCs/>
                <w:sz w:val="24"/>
                <w:szCs w:val="24"/>
              </w:rPr>
            </w:pPr>
            <w:r>
              <w:rPr>
                <w:b/>
                <w:bCs/>
              </w:rPr>
              <w:t>AWS DirectConnect price/month (US East)</w:t>
            </w:r>
          </w:p>
        </w:tc>
        <w:tc>
          <w:tcPr>
            <w:tcW w:w="0" w:type="auto"/>
            <w:tcMar>
              <w:top w:w="332" w:type="dxa"/>
              <w:left w:w="332" w:type="dxa"/>
              <w:bottom w:w="332" w:type="dxa"/>
              <w:right w:w="332" w:type="dxa"/>
            </w:tcMar>
            <w:vAlign w:val="center"/>
            <w:hideMark/>
          </w:tcPr>
          <w:p w:rsidR="00BD5797" w:rsidRDefault="00BD5797" w:rsidP="00C72539">
            <w:pPr>
              <w:rPr>
                <w:b/>
                <w:bCs/>
                <w:sz w:val="24"/>
                <w:szCs w:val="24"/>
              </w:rPr>
            </w:pPr>
            <w:r>
              <w:rPr>
                <w:b/>
                <w:bCs/>
              </w:rPr>
              <w:t>Oracle Cloud Infrastruct</w:t>
            </w:r>
            <w:r w:rsidR="00C72539">
              <w:rPr>
                <w:b/>
                <w:bCs/>
              </w:rPr>
              <w:t xml:space="preserve"> </w:t>
            </w:r>
            <w:r>
              <w:rPr>
                <w:b/>
                <w:bCs/>
              </w:rPr>
              <w:t>Savings</w:t>
            </w:r>
          </w:p>
        </w:tc>
      </w:tr>
      <w:tr w:rsidR="00C72539" w:rsidTr="00C72539">
        <w:trPr>
          <w:jc w:val="center"/>
        </w:trPr>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3% utilization</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97.2</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$918</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$3,564</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rStyle w:val="Strong"/>
                <w:color w:val="161513"/>
              </w:rPr>
              <w:t>74.24%</w:t>
            </w:r>
          </w:p>
        </w:tc>
      </w:tr>
      <w:tr w:rsidR="00C72539" w:rsidTr="00C72539">
        <w:trPr>
          <w:jc w:val="center"/>
        </w:trPr>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10% utilization</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324</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$918</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$8,100</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rStyle w:val="Strong"/>
                <w:color w:val="161513"/>
              </w:rPr>
              <w:t>88.67%</w:t>
            </w:r>
          </w:p>
        </w:tc>
      </w:tr>
      <w:tr w:rsidR="00C72539" w:rsidTr="00C72539">
        <w:trPr>
          <w:jc w:val="center"/>
        </w:trPr>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30% utilization</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972</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$918</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$21,060</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rStyle w:val="Strong"/>
                <w:color w:val="161513"/>
              </w:rPr>
              <w:t>95.64%</w:t>
            </w:r>
          </w:p>
        </w:tc>
      </w:tr>
      <w:tr w:rsidR="00C72539" w:rsidTr="00C72539">
        <w:trPr>
          <w:jc w:val="center"/>
        </w:trPr>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40% utilization</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1,296</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$918</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$27,540</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rStyle w:val="Strong"/>
                <w:color w:val="161513"/>
              </w:rPr>
              <w:t>96.67%</w:t>
            </w:r>
          </w:p>
        </w:tc>
      </w:tr>
      <w:tr w:rsidR="00C72539" w:rsidTr="00C72539">
        <w:trPr>
          <w:jc w:val="center"/>
        </w:trPr>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50% utilization</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1,620</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$918</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color w:val="161513"/>
              </w:rPr>
              <w:t>$34,020</w:t>
            </w:r>
          </w:p>
        </w:tc>
        <w:tc>
          <w:tcPr>
            <w:tcW w:w="0" w:type="auto"/>
            <w:tcMar>
              <w:top w:w="240" w:type="dxa"/>
              <w:left w:w="240" w:type="dxa"/>
              <w:bottom w:w="240" w:type="dxa"/>
              <w:right w:w="240" w:type="dxa"/>
            </w:tcMar>
            <w:vAlign w:val="center"/>
            <w:hideMark/>
          </w:tcPr>
          <w:p w:rsidR="00BD5797" w:rsidRDefault="00BD5797">
            <w:pPr>
              <w:rPr>
                <w:color w:val="161513"/>
                <w:sz w:val="24"/>
                <w:szCs w:val="24"/>
              </w:rPr>
            </w:pPr>
            <w:r>
              <w:rPr>
                <w:rStyle w:val="Strong"/>
                <w:color w:val="161513"/>
              </w:rPr>
              <w:t>97.30%</w:t>
            </w:r>
          </w:p>
        </w:tc>
      </w:tr>
    </w:tbl>
    <w:p w:rsidR="00C72539" w:rsidRPr="00C72539" w:rsidRDefault="00C72539" w:rsidP="00C72539">
      <w:pPr>
        <w:shd w:val="clear" w:color="auto" w:fill="1F3A4B"/>
        <w:spacing w:after="96" w:line="240" w:lineRule="auto"/>
        <w:outlineLvl w:val="1"/>
        <w:rPr>
          <w:rFonts w:ascii="Segoe UI" w:eastAsia="Times New Roman" w:hAnsi="Segoe UI" w:cs="Segoe UI"/>
          <w:b/>
          <w:bCs/>
          <w:color w:val="FBF9F8"/>
          <w:sz w:val="36"/>
          <w:szCs w:val="36"/>
        </w:rPr>
      </w:pPr>
      <w:r>
        <w:rPr>
          <w:rFonts w:ascii="Segoe UI" w:eastAsia="Times New Roman" w:hAnsi="Segoe UI" w:cs="Segoe UI"/>
          <w:b/>
          <w:bCs/>
          <w:color w:val="FBF9F8"/>
          <w:sz w:val="36"/>
          <w:szCs w:val="36"/>
        </w:rPr>
        <w:t xml:space="preserve">Better network pricing across all regions </w:t>
      </w:r>
    </w:p>
    <w:tbl>
      <w:tblPr>
        <w:tblW w:w="13674" w:type="dxa"/>
        <w:tblCellMar>
          <w:left w:w="0" w:type="dxa"/>
          <w:right w:w="0" w:type="dxa"/>
        </w:tblCellMar>
        <w:tblLook w:val="04A0"/>
      </w:tblPr>
      <w:tblGrid>
        <w:gridCol w:w="3381"/>
        <w:gridCol w:w="5046"/>
        <w:gridCol w:w="2766"/>
        <w:gridCol w:w="2481"/>
      </w:tblGrid>
      <w:tr w:rsidR="00C72539" w:rsidTr="00C72539">
        <w:trPr>
          <w:tblHeader/>
        </w:trPr>
        <w:tc>
          <w:tcPr>
            <w:tcW w:w="0" w:type="auto"/>
            <w:tcMar>
              <w:top w:w="332" w:type="dxa"/>
              <w:left w:w="332" w:type="dxa"/>
              <w:bottom w:w="332" w:type="dxa"/>
              <w:right w:w="332" w:type="dxa"/>
            </w:tcMar>
            <w:vAlign w:val="center"/>
            <w:hideMark/>
          </w:tcPr>
          <w:p w:rsidR="00C72539" w:rsidRDefault="00C72539">
            <w:pPr>
              <w:rPr>
                <w:b/>
                <w:bCs/>
                <w:sz w:val="24"/>
                <w:szCs w:val="24"/>
              </w:rPr>
            </w:pPr>
            <w:r>
              <w:rPr>
                <w:b/>
                <w:bCs/>
              </w:rPr>
              <w:t>Regional mapping</w:t>
            </w:r>
          </w:p>
        </w:tc>
        <w:tc>
          <w:tcPr>
            <w:tcW w:w="0" w:type="auto"/>
            <w:tcMar>
              <w:top w:w="332" w:type="dxa"/>
              <w:left w:w="332" w:type="dxa"/>
              <w:bottom w:w="332" w:type="dxa"/>
              <w:right w:w="332" w:type="dxa"/>
            </w:tcMar>
            <w:vAlign w:val="center"/>
            <w:hideMark/>
          </w:tcPr>
          <w:p w:rsidR="00C72539" w:rsidRDefault="00C72539">
            <w:pPr>
              <w:rPr>
                <w:b/>
                <w:bCs/>
                <w:sz w:val="24"/>
                <w:szCs w:val="24"/>
              </w:rPr>
            </w:pPr>
            <w:r>
              <w:rPr>
                <w:b/>
                <w:bCs/>
              </w:rPr>
              <w:t>Oracle Cloud Infrastructure price per GB month</w:t>
            </w:r>
          </w:p>
        </w:tc>
        <w:tc>
          <w:tcPr>
            <w:tcW w:w="0" w:type="auto"/>
            <w:tcMar>
              <w:top w:w="332" w:type="dxa"/>
              <w:left w:w="332" w:type="dxa"/>
              <w:bottom w:w="332" w:type="dxa"/>
              <w:right w:w="332" w:type="dxa"/>
            </w:tcMar>
            <w:vAlign w:val="center"/>
            <w:hideMark/>
          </w:tcPr>
          <w:p w:rsidR="00C72539" w:rsidRDefault="00C72539">
            <w:pPr>
              <w:rPr>
                <w:b/>
                <w:bCs/>
                <w:sz w:val="24"/>
                <w:szCs w:val="24"/>
              </w:rPr>
            </w:pPr>
            <w:r>
              <w:rPr>
                <w:b/>
                <w:bCs/>
              </w:rPr>
              <w:t>AWS (Lowest cost tier)</w:t>
            </w:r>
          </w:p>
        </w:tc>
        <w:tc>
          <w:tcPr>
            <w:tcW w:w="0" w:type="auto"/>
            <w:tcMar>
              <w:top w:w="332" w:type="dxa"/>
              <w:left w:w="332" w:type="dxa"/>
              <w:bottom w:w="332" w:type="dxa"/>
              <w:right w:w="332" w:type="dxa"/>
            </w:tcMar>
            <w:vAlign w:val="center"/>
            <w:hideMark/>
          </w:tcPr>
          <w:p w:rsidR="00C72539" w:rsidRDefault="00C72539">
            <w:pPr>
              <w:rPr>
                <w:b/>
                <w:bCs/>
                <w:sz w:val="24"/>
                <w:szCs w:val="24"/>
              </w:rPr>
            </w:pPr>
            <w:r>
              <w:rPr>
                <w:b/>
                <w:bCs/>
              </w:rPr>
              <w:t>Savings with Oracle</w:t>
            </w:r>
          </w:p>
        </w:tc>
      </w:tr>
      <w:tr w:rsidR="00C72539" w:rsidTr="00C72539">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North America and Europe</w:t>
            </w:r>
          </w:p>
        </w:tc>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$0.0085</w:t>
            </w:r>
          </w:p>
        </w:tc>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$0.0500</w:t>
            </w:r>
          </w:p>
        </w:tc>
        <w:tc>
          <w:tcPr>
            <w:tcW w:w="0" w:type="auto"/>
            <w:tcMar>
              <w:top w:w="240" w:type="dxa"/>
              <w:left w:w="240" w:type="dxa"/>
              <w:bottom w:w="240" w:type="dxa"/>
              <w:right w:w="240" w:type="dxa"/>
            </w:tcMar>
            <w:vAlign w:val="center"/>
            <w:hideMark/>
          </w:tcPr>
          <w:p w:rsidR="00C72539" w:rsidRDefault="00C72539">
            <w:pPr>
              <w:rPr>
                <w:color w:val="161513"/>
                <w:sz w:val="24"/>
                <w:szCs w:val="24"/>
              </w:rPr>
            </w:pPr>
            <w:r>
              <w:rPr>
                <w:rStyle w:val="Strong"/>
                <w:color w:val="161513"/>
              </w:rPr>
              <w:t>83%</w:t>
            </w:r>
          </w:p>
        </w:tc>
      </w:tr>
      <w:tr w:rsidR="00C72539" w:rsidTr="00C72539">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Asia, Japan, and South America</w:t>
            </w:r>
          </w:p>
        </w:tc>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$0.0250</w:t>
            </w:r>
          </w:p>
        </w:tc>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$0.0800</w:t>
            </w:r>
          </w:p>
        </w:tc>
        <w:tc>
          <w:tcPr>
            <w:tcW w:w="0" w:type="auto"/>
            <w:tcMar>
              <w:top w:w="240" w:type="dxa"/>
              <w:left w:w="240" w:type="dxa"/>
              <w:bottom w:w="240" w:type="dxa"/>
              <w:right w:w="240" w:type="dxa"/>
            </w:tcMar>
            <w:vAlign w:val="center"/>
            <w:hideMark/>
          </w:tcPr>
          <w:p w:rsidR="00C72539" w:rsidRDefault="00C72539">
            <w:pPr>
              <w:rPr>
                <w:color w:val="161513"/>
                <w:sz w:val="24"/>
                <w:szCs w:val="24"/>
              </w:rPr>
            </w:pPr>
            <w:r>
              <w:rPr>
                <w:rStyle w:val="Strong"/>
                <w:color w:val="161513"/>
              </w:rPr>
              <w:t>69%</w:t>
            </w:r>
          </w:p>
        </w:tc>
      </w:tr>
      <w:tr w:rsidR="00C72539" w:rsidTr="00C72539">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Middle East</w:t>
            </w:r>
          </w:p>
        </w:tc>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$0.0500</w:t>
            </w:r>
          </w:p>
        </w:tc>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$0.0650</w:t>
            </w:r>
          </w:p>
        </w:tc>
        <w:tc>
          <w:tcPr>
            <w:tcW w:w="0" w:type="auto"/>
            <w:tcMar>
              <w:top w:w="240" w:type="dxa"/>
              <w:left w:w="240" w:type="dxa"/>
              <w:bottom w:w="240" w:type="dxa"/>
              <w:right w:w="240" w:type="dxa"/>
            </w:tcMar>
            <w:vAlign w:val="center"/>
            <w:hideMark/>
          </w:tcPr>
          <w:p w:rsidR="00C72539" w:rsidRDefault="00C72539">
            <w:pPr>
              <w:rPr>
                <w:color w:val="161513"/>
                <w:sz w:val="24"/>
                <w:szCs w:val="24"/>
              </w:rPr>
            </w:pPr>
            <w:r>
              <w:rPr>
                <w:rStyle w:val="Strong"/>
                <w:color w:val="161513"/>
              </w:rPr>
              <w:t>23%</w:t>
            </w:r>
          </w:p>
        </w:tc>
      </w:tr>
    </w:tbl>
    <w:p w:rsidR="00BD5797" w:rsidRDefault="00BD5797" w:rsidP="00CE3F73">
      <w:pPr>
        <w:pStyle w:val="Heading2"/>
        <w:shd w:val="clear" w:color="auto" w:fill="FFFFFF"/>
        <w:spacing w:before="0" w:beforeAutospacing="0" w:after="0" w:afterAutospacing="0"/>
        <w:rPr>
          <w:rFonts w:ascii="Cambria" w:hAnsi="Cambria" w:cs="Segoe UI"/>
          <w:color w:val="514C47"/>
          <w:sz w:val="22"/>
          <w:szCs w:val="22"/>
        </w:rPr>
      </w:pPr>
    </w:p>
    <w:p w:rsidR="00C72539" w:rsidRPr="00C72539" w:rsidRDefault="00C72539" w:rsidP="00C72539">
      <w:pPr>
        <w:shd w:val="clear" w:color="auto" w:fill="1F3A4B"/>
        <w:spacing w:after="96" w:line="240" w:lineRule="auto"/>
        <w:outlineLvl w:val="1"/>
        <w:rPr>
          <w:rFonts w:ascii="Segoe UI" w:eastAsia="Times New Roman" w:hAnsi="Segoe UI" w:cs="Segoe UI"/>
          <w:b/>
          <w:bCs/>
          <w:color w:val="FBF9F8"/>
          <w:sz w:val="36"/>
          <w:szCs w:val="36"/>
        </w:rPr>
      </w:pPr>
      <w:r>
        <w:rPr>
          <w:rFonts w:ascii="Segoe UI" w:eastAsia="Times New Roman" w:hAnsi="Segoe UI" w:cs="Segoe UI"/>
          <w:b/>
          <w:bCs/>
          <w:color w:val="FBF9F8"/>
          <w:sz w:val="36"/>
          <w:szCs w:val="36"/>
        </w:rPr>
        <w:lastRenderedPageBreak/>
        <w:t>AWS fixed shapes result in significant waste</w:t>
      </w:r>
    </w:p>
    <w:tbl>
      <w:tblPr>
        <w:tblW w:w="13674" w:type="dxa"/>
        <w:tblCellMar>
          <w:left w:w="0" w:type="dxa"/>
          <w:right w:w="0" w:type="dxa"/>
        </w:tblCellMar>
        <w:tblLook w:val="04A0"/>
      </w:tblPr>
      <w:tblGrid>
        <w:gridCol w:w="1638"/>
        <w:gridCol w:w="5919"/>
        <w:gridCol w:w="6117"/>
      </w:tblGrid>
      <w:tr w:rsidR="00C72539" w:rsidTr="00C72539">
        <w:trPr>
          <w:tblHeader/>
        </w:trPr>
        <w:tc>
          <w:tcPr>
            <w:tcW w:w="0" w:type="auto"/>
            <w:tcMar>
              <w:top w:w="332" w:type="dxa"/>
              <w:left w:w="332" w:type="dxa"/>
              <w:bottom w:w="332" w:type="dxa"/>
              <w:right w:w="332" w:type="dxa"/>
            </w:tcMar>
            <w:vAlign w:val="center"/>
            <w:hideMark/>
          </w:tcPr>
          <w:p w:rsidR="00C72539" w:rsidRDefault="00C72539">
            <w:pPr>
              <w:rPr>
                <w:b/>
                <w:bCs/>
                <w:sz w:val="24"/>
                <w:szCs w:val="24"/>
              </w:rPr>
            </w:pPr>
            <w:r>
              <w:rPr>
                <w:b/>
                <w:bCs/>
              </w:rPr>
              <w:t> </w:t>
            </w:r>
          </w:p>
        </w:tc>
        <w:tc>
          <w:tcPr>
            <w:tcW w:w="0" w:type="auto"/>
            <w:tcMar>
              <w:top w:w="332" w:type="dxa"/>
              <w:left w:w="332" w:type="dxa"/>
              <w:bottom w:w="332" w:type="dxa"/>
              <w:right w:w="332" w:type="dxa"/>
            </w:tcMar>
            <w:vAlign w:val="center"/>
            <w:hideMark/>
          </w:tcPr>
          <w:p w:rsidR="00C72539" w:rsidRDefault="00C72539">
            <w:pPr>
              <w:rPr>
                <w:b/>
                <w:bCs/>
                <w:sz w:val="24"/>
                <w:szCs w:val="24"/>
              </w:rPr>
            </w:pPr>
            <w:r>
              <w:rPr>
                <w:b/>
                <w:bCs/>
              </w:rPr>
              <w:t>Oracle Cloud Infrastructure E3.3</w:t>
            </w:r>
          </w:p>
        </w:tc>
        <w:tc>
          <w:tcPr>
            <w:tcW w:w="0" w:type="auto"/>
            <w:tcMar>
              <w:top w:w="332" w:type="dxa"/>
              <w:left w:w="332" w:type="dxa"/>
              <w:bottom w:w="332" w:type="dxa"/>
              <w:right w:w="332" w:type="dxa"/>
            </w:tcMar>
            <w:vAlign w:val="center"/>
            <w:hideMark/>
          </w:tcPr>
          <w:p w:rsidR="00C72539" w:rsidRDefault="00C72539">
            <w:pPr>
              <w:rPr>
                <w:b/>
                <w:bCs/>
                <w:sz w:val="24"/>
                <w:szCs w:val="24"/>
              </w:rPr>
            </w:pPr>
            <w:r>
              <w:rPr>
                <w:b/>
                <w:bCs/>
              </w:rPr>
              <w:t>AWS r5.2xlarge</w:t>
            </w:r>
          </w:p>
        </w:tc>
      </w:tr>
      <w:tr w:rsidR="00C72539" w:rsidTr="00C72539">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Cores</w:t>
            </w:r>
          </w:p>
        </w:tc>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3</w:t>
            </w:r>
          </w:p>
        </w:tc>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4</w:t>
            </w:r>
          </w:p>
        </w:tc>
      </w:tr>
      <w:tr w:rsidR="00C72539" w:rsidTr="00C72539">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List Price</w:t>
            </w:r>
          </w:p>
        </w:tc>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$0.147</w:t>
            </w:r>
          </w:p>
        </w:tc>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$0.504 (US East)</w:t>
            </w:r>
          </w:p>
        </w:tc>
      </w:tr>
      <w:tr w:rsidR="00C72539" w:rsidTr="00C72539">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RAM</w:t>
            </w:r>
          </w:p>
        </w:tc>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48GB</w:t>
            </w:r>
          </w:p>
        </w:tc>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b/>
                <w:color w:val="161513"/>
              </w:rPr>
              <w:t>64GB</w:t>
            </w:r>
          </w:p>
        </w:tc>
      </w:tr>
      <w:tr w:rsidR="00C72539" w:rsidTr="00C72539">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p>
        </w:tc>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rStyle w:val="Strong"/>
                <w:color w:val="161513"/>
              </w:rPr>
              <w:t>Flexible compute shapes offer the perfect size</w:t>
            </w:r>
          </w:p>
        </w:tc>
        <w:tc>
          <w:tcPr>
            <w:tcW w:w="0" w:type="auto"/>
            <w:tcMar>
              <w:top w:w="240" w:type="dxa"/>
              <w:left w:w="240" w:type="dxa"/>
              <w:bottom w:w="240" w:type="dxa"/>
              <w:right w:w="240" w:type="dxa"/>
            </w:tcMar>
            <w:vAlign w:val="center"/>
            <w:hideMark/>
          </w:tcPr>
          <w:p w:rsidR="00C72539" w:rsidRPr="00C72539" w:rsidRDefault="00C72539">
            <w:pPr>
              <w:rPr>
                <w:b/>
                <w:color w:val="161513"/>
                <w:sz w:val="24"/>
                <w:szCs w:val="24"/>
              </w:rPr>
            </w:pPr>
            <w:r w:rsidRPr="00C72539">
              <w:rPr>
                <w:rStyle w:val="Strong"/>
                <w:color w:val="161513"/>
              </w:rPr>
              <w:t>242%</w:t>
            </w:r>
            <w:r w:rsidRPr="00C72539">
              <w:rPr>
                <w:b/>
                <w:color w:val="161513"/>
              </w:rPr>
              <w:t> more expensive and wastes </w:t>
            </w:r>
            <w:r w:rsidRPr="00C72539">
              <w:rPr>
                <w:rStyle w:val="Strong"/>
                <w:color w:val="161513"/>
              </w:rPr>
              <w:t>16GB</w:t>
            </w:r>
            <w:r w:rsidRPr="00C72539">
              <w:rPr>
                <w:b/>
                <w:color w:val="161513"/>
              </w:rPr>
              <w:t> of RAM</w:t>
            </w:r>
          </w:p>
        </w:tc>
      </w:tr>
    </w:tbl>
    <w:p w:rsidR="008A4A1C" w:rsidRPr="00C72539" w:rsidRDefault="008A4A1C" w:rsidP="008A4A1C">
      <w:pPr>
        <w:shd w:val="clear" w:color="auto" w:fill="1F3A4B"/>
        <w:spacing w:after="96" w:line="240" w:lineRule="auto"/>
        <w:outlineLvl w:val="1"/>
        <w:rPr>
          <w:rFonts w:ascii="Segoe UI" w:eastAsia="Times New Roman" w:hAnsi="Segoe UI" w:cs="Segoe UI"/>
          <w:b/>
          <w:bCs/>
          <w:color w:val="FBF9F8"/>
          <w:sz w:val="36"/>
          <w:szCs w:val="36"/>
        </w:rPr>
      </w:pPr>
      <w:r>
        <w:rPr>
          <w:rFonts w:ascii="Segoe UI" w:eastAsia="Times New Roman" w:hAnsi="Segoe UI" w:cs="Segoe UI"/>
          <w:b/>
          <w:bCs/>
          <w:color w:val="FBF9F8"/>
          <w:sz w:val="36"/>
          <w:szCs w:val="36"/>
        </w:rPr>
        <w:t>Consistently low cost HPC , with linear performance</w:t>
      </w:r>
    </w:p>
    <w:p w:rsidR="008A4A1C" w:rsidRDefault="008A4A1C" w:rsidP="008A4A1C">
      <w:pPr>
        <w:pStyle w:val="NormalWeb"/>
        <w:shd w:val="clear" w:color="auto" w:fill="FBF9F8"/>
        <w:spacing w:before="0" w:beforeAutospacing="0" w:after="0" w:afterAutospacing="0"/>
        <w:rPr>
          <w:rFonts w:ascii="Segoe UI" w:hAnsi="Segoe UI" w:cs="Segoe UI"/>
          <w:color w:val="000000"/>
          <w:sz w:val="16"/>
          <w:szCs w:val="16"/>
        </w:rPr>
      </w:pPr>
      <w:r>
        <w:rPr>
          <w:rFonts w:ascii="Segoe UI" w:hAnsi="Segoe UI" w:cs="Segoe UI"/>
          <w:color w:val="000000"/>
          <w:sz w:val="16"/>
          <w:szCs w:val="16"/>
        </w:rPr>
        <w:t>Oracle Cloud Infrastructure’s HPC instances offers linear performance and consistent low cost compared to AWS. For a typical Computational Fluid Dynamics (CFD) job, with a CFD Solver for a 140-M cell mesh, AWS’s C5n instances are about 60% more expensive than Oracle’s HPC instances across all scales. You can find more information on the AWS configuration and test results on their blog: </w:t>
      </w:r>
      <w:hyperlink r:id="rId11" w:history="1">
        <w:r>
          <w:rPr>
            <w:rStyle w:val="Hyperlink"/>
            <w:rFonts w:ascii="Segoe UI" w:hAnsi="Segoe UI" w:cs="Segoe UI"/>
            <w:color w:val="00688C"/>
            <w:sz w:val="16"/>
            <w:szCs w:val="16"/>
          </w:rPr>
          <w:t>https://aws.amazon.com/blogs/compute/running-ansys-fluent-on-amazon-ec2-c5n-with-elastic-fabric-adapter-efa/</w:t>
        </w:r>
      </w:hyperlink>
      <w:r>
        <w:rPr>
          <w:rFonts w:ascii="Segoe UI" w:hAnsi="Segoe UI" w:cs="Segoe UI"/>
          <w:color w:val="000000"/>
          <w:sz w:val="16"/>
          <w:szCs w:val="16"/>
        </w:rPr>
        <w:t>.</w:t>
      </w:r>
    </w:p>
    <w:p w:rsidR="008A4A1C" w:rsidRDefault="008A4A1C" w:rsidP="00CE3F73">
      <w:pPr>
        <w:pStyle w:val="Heading2"/>
        <w:shd w:val="clear" w:color="auto" w:fill="FFFFFF"/>
        <w:spacing w:before="0" w:beforeAutospacing="0" w:after="0" w:afterAutospacing="0"/>
        <w:rPr>
          <w:rFonts w:ascii="Cambria" w:hAnsi="Cambria" w:cs="Segoe UI"/>
          <w:color w:val="514C47"/>
          <w:sz w:val="22"/>
          <w:szCs w:val="22"/>
        </w:rPr>
      </w:pPr>
    </w:p>
    <w:p w:rsidR="00C72539" w:rsidRPr="00CE3F73" w:rsidRDefault="008A4A1C" w:rsidP="00CE3F73">
      <w:pPr>
        <w:pStyle w:val="Heading2"/>
        <w:shd w:val="clear" w:color="auto" w:fill="FFFFFF"/>
        <w:spacing w:before="0" w:beforeAutospacing="0" w:after="0" w:afterAutospacing="0"/>
        <w:rPr>
          <w:rFonts w:ascii="Cambria" w:hAnsi="Cambria" w:cs="Segoe UI"/>
          <w:color w:val="514C47"/>
          <w:sz w:val="22"/>
          <w:szCs w:val="22"/>
        </w:rPr>
      </w:pPr>
      <w:r>
        <w:rPr>
          <w:noProof/>
        </w:rPr>
        <w:drawing>
          <wp:inline distT="0" distB="0" distL="0" distR="0">
            <wp:extent cx="5943600" cy="3263550"/>
            <wp:effectExtent l="0" t="0" r="0" b="0"/>
            <wp:docPr id="6" name="Picture 6" descr="High performance computing sav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gh performance computing savings"/>
                    <pic:cNvPicPr>
                      <a:picLocks noChangeAspect="1" noChangeArrowheads="1"/>
                    </pic:cNvPicPr>
                  </pic:nvPicPr>
                  <pic:blipFill>
                    <a:blip r:embed="rId12"/>
                    <a:srcRect/>
                    <a:stretch>
                      <a:fillRect/>
                    </a:stretch>
                  </pic:blipFill>
                  <pic:spPr bwMode="auto">
                    <a:xfrm>
                      <a:off x="0" y="0"/>
                      <a:ext cx="5943600" cy="3263550"/>
                    </a:xfrm>
                    <a:prstGeom prst="rect">
                      <a:avLst/>
                    </a:prstGeom>
                    <a:noFill/>
                    <a:ln w="9525">
                      <a:noFill/>
                      <a:miter lim="800000"/>
                      <a:headEnd/>
                      <a:tailEnd/>
                    </a:ln>
                  </pic:spPr>
                </pic:pic>
              </a:graphicData>
            </a:graphic>
          </wp:inline>
        </w:drawing>
      </w:r>
    </w:p>
    <w:p w:rsidR="00C72539" w:rsidRDefault="00C72539" w:rsidP="00C109FB"/>
    <w:p w:rsidR="001A7C84" w:rsidRPr="00C72539" w:rsidRDefault="001A7C84" w:rsidP="001A7C84">
      <w:pPr>
        <w:shd w:val="clear" w:color="auto" w:fill="1F3A4B"/>
        <w:spacing w:after="96" w:line="240" w:lineRule="auto"/>
        <w:outlineLvl w:val="1"/>
        <w:rPr>
          <w:rFonts w:ascii="Segoe UI" w:eastAsia="Times New Roman" w:hAnsi="Segoe UI" w:cs="Segoe UI"/>
          <w:b/>
          <w:bCs/>
          <w:color w:val="FBF9F8"/>
          <w:sz w:val="36"/>
          <w:szCs w:val="36"/>
        </w:rPr>
      </w:pPr>
      <w:r>
        <w:rPr>
          <w:rFonts w:ascii="Segoe UI" w:eastAsia="Times New Roman" w:hAnsi="Segoe UI" w:cs="Segoe UI"/>
          <w:b/>
          <w:bCs/>
          <w:color w:val="FBF9F8"/>
          <w:sz w:val="36"/>
          <w:szCs w:val="36"/>
        </w:rPr>
        <w:lastRenderedPageBreak/>
        <w:t>Consistently global pricing</w:t>
      </w:r>
    </w:p>
    <w:p w:rsidR="00C72539" w:rsidRDefault="001A7C84" w:rsidP="001A7C84">
      <w:r>
        <w:rPr>
          <w:noProof/>
        </w:rPr>
        <w:drawing>
          <wp:inline distT="0" distB="0" distL="0" distR="0">
            <wp:extent cx="5771693" cy="4293828"/>
            <wp:effectExtent l="0" t="0" r="0" b="0"/>
            <wp:docPr id="9" name="Picture 9" descr="global pricing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obal pricing chart"/>
                    <pic:cNvPicPr>
                      <a:picLocks noChangeAspect="1" noChangeArrowheads="1"/>
                    </pic:cNvPicPr>
                  </pic:nvPicPr>
                  <pic:blipFill>
                    <a:blip r:embed="rId13"/>
                    <a:srcRect/>
                    <a:stretch>
                      <a:fillRect/>
                    </a:stretch>
                  </pic:blipFill>
                  <pic:spPr bwMode="auto">
                    <a:xfrm>
                      <a:off x="0" y="0"/>
                      <a:ext cx="5771749" cy="4293870"/>
                    </a:xfrm>
                    <a:prstGeom prst="rect">
                      <a:avLst/>
                    </a:prstGeom>
                    <a:noFill/>
                    <a:ln w="9525">
                      <a:noFill/>
                      <a:miter lim="800000"/>
                      <a:headEnd/>
                      <a:tailEnd/>
                    </a:ln>
                  </pic:spPr>
                </pic:pic>
              </a:graphicData>
            </a:graphic>
          </wp:inline>
        </w:drawing>
      </w:r>
    </w:p>
    <w:sectPr w:rsidR="00C72539" w:rsidSect="00832C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0A8" w:rsidRDefault="00C620A8" w:rsidP="00BD5797">
      <w:pPr>
        <w:spacing w:after="0" w:line="240" w:lineRule="auto"/>
      </w:pPr>
      <w:r>
        <w:separator/>
      </w:r>
    </w:p>
  </w:endnote>
  <w:endnote w:type="continuationSeparator" w:id="1">
    <w:p w:rsidR="00C620A8" w:rsidRDefault="00C620A8" w:rsidP="00BD57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0A8" w:rsidRDefault="00C620A8" w:rsidP="00BD5797">
      <w:pPr>
        <w:spacing w:after="0" w:line="240" w:lineRule="auto"/>
      </w:pPr>
      <w:r>
        <w:separator/>
      </w:r>
    </w:p>
  </w:footnote>
  <w:footnote w:type="continuationSeparator" w:id="1">
    <w:p w:rsidR="00C620A8" w:rsidRDefault="00C620A8" w:rsidP="00BD57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A08A0"/>
    <w:multiLevelType w:val="hybridMultilevel"/>
    <w:tmpl w:val="1ADC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109FB"/>
    <w:rsid w:val="001A7C84"/>
    <w:rsid w:val="00832C89"/>
    <w:rsid w:val="008A4A1C"/>
    <w:rsid w:val="00BD5797"/>
    <w:rsid w:val="00C109FB"/>
    <w:rsid w:val="00C620A8"/>
    <w:rsid w:val="00C72539"/>
    <w:rsid w:val="00CE3F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9FB"/>
  </w:style>
  <w:style w:type="paragraph" w:styleId="Heading1">
    <w:name w:val="heading 1"/>
    <w:basedOn w:val="Normal"/>
    <w:next w:val="Normal"/>
    <w:link w:val="Heading1Char"/>
    <w:uiPriority w:val="9"/>
    <w:qFormat/>
    <w:rsid w:val="00C109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109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09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D57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9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09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09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09FB"/>
    <w:pPr>
      <w:ind w:left="720"/>
      <w:contextualSpacing/>
    </w:pPr>
  </w:style>
  <w:style w:type="character" w:customStyle="1" w:styleId="Heading1Char">
    <w:name w:val="Heading 1 Char"/>
    <w:basedOn w:val="DefaultParagraphFont"/>
    <w:link w:val="Heading1"/>
    <w:uiPriority w:val="9"/>
    <w:rsid w:val="00C109F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E3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F73"/>
    <w:rPr>
      <w:rFonts w:ascii="Tahoma" w:hAnsi="Tahoma" w:cs="Tahoma"/>
      <w:sz w:val="16"/>
      <w:szCs w:val="16"/>
    </w:rPr>
  </w:style>
  <w:style w:type="character" w:customStyle="1" w:styleId="Heading4Char">
    <w:name w:val="Heading 4 Char"/>
    <w:basedOn w:val="DefaultParagraphFont"/>
    <w:link w:val="Heading4"/>
    <w:uiPriority w:val="9"/>
    <w:rsid w:val="00BD579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D5797"/>
    <w:rPr>
      <w:b/>
      <w:bCs/>
    </w:rPr>
  </w:style>
  <w:style w:type="paragraph" w:styleId="Header">
    <w:name w:val="header"/>
    <w:basedOn w:val="Normal"/>
    <w:link w:val="HeaderChar"/>
    <w:uiPriority w:val="99"/>
    <w:semiHidden/>
    <w:unhideWhenUsed/>
    <w:rsid w:val="00BD57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797"/>
  </w:style>
  <w:style w:type="paragraph" w:styleId="Footer">
    <w:name w:val="footer"/>
    <w:basedOn w:val="Normal"/>
    <w:link w:val="FooterChar"/>
    <w:uiPriority w:val="99"/>
    <w:semiHidden/>
    <w:unhideWhenUsed/>
    <w:rsid w:val="00BD57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5797"/>
  </w:style>
  <w:style w:type="character" w:styleId="Hyperlink">
    <w:name w:val="Hyperlink"/>
    <w:basedOn w:val="DefaultParagraphFont"/>
    <w:uiPriority w:val="99"/>
    <w:semiHidden/>
    <w:unhideWhenUsed/>
    <w:rsid w:val="008A4A1C"/>
    <w:rPr>
      <w:color w:val="0000FF"/>
      <w:u w:val="single"/>
    </w:rPr>
  </w:style>
</w:styles>
</file>

<file path=word/webSettings.xml><?xml version="1.0" encoding="utf-8"?>
<w:webSettings xmlns:r="http://schemas.openxmlformats.org/officeDocument/2006/relationships" xmlns:w="http://schemas.openxmlformats.org/wordprocessingml/2006/main">
  <w:divs>
    <w:div w:id="326713845">
      <w:bodyDiv w:val="1"/>
      <w:marLeft w:val="0"/>
      <w:marRight w:val="0"/>
      <w:marTop w:val="0"/>
      <w:marBottom w:val="0"/>
      <w:divBdr>
        <w:top w:val="none" w:sz="0" w:space="0" w:color="auto"/>
        <w:left w:val="none" w:sz="0" w:space="0" w:color="auto"/>
        <w:bottom w:val="none" w:sz="0" w:space="0" w:color="auto"/>
        <w:right w:val="none" w:sz="0" w:space="0" w:color="auto"/>
      </w:divBdr>
    </w:div>
    <w:div w:id="358045705">
      <w:bodyDiv w:val="1"/>
      <w:marLeft w:val="0"/>
      <w:marRight w:val="0"/>
      <w:marTop w:val="0"/>
      <w:marBottom w:val="0"/>
      <w:divBdr>
        <w:top w:val="none" w:sz="0" w:space="0" w:color="auto"/>
        <w:left w:val="none" w:sz="0" w:space="0" w:color="auto"/>
        <w:bottom w:val="none" w:sz="0" w:space="0" w:color="auto"/>
        <w:right w:val="none" w:sz="0" w:space="0" w:color="auto"/>
      </w:divBdr>
    </w:div>
    <w:div w:id="674115329">
      <w:bodyDiv w:val="1"/>
      <w:marLeft w:val="0"/>
      <w:marRight w:val="0"/>
      <w:marTop w:val="0"/>
      <w:marBottom w:val="0"/>
      <w:divBdr>
        <w:top w:val="none" w:sz="0" w:space="0" w:color="auto"/>
        <w:left w:val="none" w:sz="0" w:space="0" w:color="auto"/>
        <w:bottom w:val="none" w:sz="0" w:space="0" w:color="auto"/>
        <w:right w:val="none" w:sz="0" w:space="0" w:color="auto"/>
      </w:divBdr>
    </w:div>
    <w:div w:id="691152768">
      <w:bodyDiv w:val="1"/>
      <w:marLeft w:val="0"/>
      <w:marRight w:val="0"/>
      <w:marTop w:val="0"/>
      <w:marBottom w:val="0"/>
      <w:divBdr>
        <w:top w:val="none" w:sz="0" w:space="0" w:color="auto"/>
        <w:left w:val="none" w:sz="0" w:space="0" w:color="auto"/>
        <w:bottom w:val="none" w:sz="0" w:space="0" w:color="auto"/>
        <w:right w:val="none" w:sz="0" w:space="0" w:color="auto"/>
      </w:divBdr>
    </w:div>
    <w:div w:id="703673709">
      <w:bodyDiv w:val="1"/>
      <w:marLeft w:val="0"/>
      <w:marRight w:val="0"/>
      <w:marTop w:val="0"/>
      <w:marBottom w:val="0"/>
      <w:divBdr>
        <w:top w:val="none" w:sz="0" w:space="0" w:color="auto"/>
        <w:left w:val="none" w:sz="0" w:space="0" w:color="auto"/>
        <w:bottom w:val="none" w:sz="0" w:space="0" w:color="auto"/>
        <w:right w:val="none" w:sz="0" w:space="0" w:color="auto"/>
      </w:divBdr>
    </w:div>
    <w:div w:id="740517620">
      <w:bodyDiv w:val="1"/>
      <w:marLeft w:val="0"/>
      <w:marRight w:val="0"/>
      <w:marTop w:val="0"/>
      <w:marBottom w:val="0"/>
      <w:divBdr>
        <w:top w:val="none" w:sz="0" w:space="0" w:color="auto"/>
        <w:left w:val="none" w:sz="0" w:space="0" w:color="auto"/>
        <w:bottom w:val="none" w:sz="0" w:space="0" w:color="auto"/>
        <w:right w:val="none" w:sz="0" w:space="0" w:color="auto"/>
      </w:divBdr>
      <w:divsChild>
        <w:div w:id="2139295903">
          <w:marLeft w:val="0"/>
          <w:marRight w:val="0"/>
          <w:marTop w:val="0"/>
          <w:marBottom w:val="0"/>
          <w:divBdr>
            <w:top w:val="none" w:sz="0" w:space="0" w:color="auto"/>
            <w:left w:val="none" w:sz="0" w:space="0" w:color="auto"/>
            <w:bottom w:val="none" w:sz="0" w:space="0" w:color="auto"/>
            <w:right w:val="none" w:sz="0" w:space="0" w:color="auto"/>
          </w:divBdr>
          <w:divsChild>
            <w:div w:id="103588423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45568366">
      <w:bodyDiv w:val="1"/>
      <w:marLeft w:val="0"/>
      <w:marRight w:val="0"/>
      <w:marTop w:val="0"/>
      <w:marBottom w:val="0"/>
      <w:divBdr>
        <w:top w:val="none" w:sz="0" w:space="0" w:color="auto"/>
        <w:left w:val="none" w:sz="0" w:space="0" w:color="auto"/>
        <w:bottom w:val="none" w:sz="0" w:space="0" w:color="auto"/>
        <w:right w:val="none" w:sz="0" w:space="0" w:color="auto"/>
      </w:divBdr>
    </w:div>
    <w:div w:id="832642308">
      <w:bodyDiv w:val="1"/>
      <w:marLeft w:val="0"/>
      <w:marRight w:val="0"/>
      <w:marTop w:val="0"/>
      <w:marBottom w:val="0"/>
      <w:divBdr>
        <w:top w:val="none" w:sz="0" w:space="0" w:color="auto"/>
        <w:left w:val="none" w:sz="0" w:space="0" w:color="auto"/>
        <w:bottom w:val="none" w:sz="0" w:space="0" w:color="auto"/>
        <w:right w:val="none" w:sz="0" w:space="0" w:color="auto"/>
      </w:divBdr>
    </w:div>
    <w:div w:id="913854702">
      <w:bodyDiv w:val="1"/>
      <w:marLeft w:val="0"/>
      <w:marRight w:val="0"/>
      <w:marTop w:val="0"/>
      <w:marBottom w:val="0"/>
      <w:divBdr>
        <w:top w:val="none" w:sz="0" w:space="0" w:color="auto"/>
        <w:left w:val="none" w:sz="0" w:space="0" w:color="auto"/>
        <w:bottom w:val="none" w:sz="0" w:space="0" w:color="auto"/>
        <w:right w:val="none" w:sz="0" w:space="0" w:color="auto"/>
      </w:divBdr>
      <w:divsChild>
        <w:div w:id="471143643">
          <w:marLeft w:val="0"/>
          <w:marRight w:val="0"/>
          <w:marTop w:val="0"/>
          <w:marBottom w:val="0"/>
          <w:divBdr>
            <w:top w:val="none" w:sz="0" w:space="0" w:color="auto"/>
            <w:left w:val="none" w:sz="0" w:space="0" w:color="auto"/>
            <w:bottom w:val="none" w:sz="0" w:space="0" w:color="auto"/>
            <w:right w:val="none" w:sz="0" w:space="0" w:color="auto"/>
          </w:divBdr>
          <w:divsChild>
            <w:div w:id="1343772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4716468">
      <w:bodyDiv w:val="1"/>
      <w:marLeft w:val="0"/>
      <w:marRight w:val="0"/>
      <w:marTop w:val="0"/>
      <w:marBottom w:val="0"/>
      <w:divBdr>
        <w:top w:val="none" w:sz="0" w:space="0" w:color="auto"/>
        <w:left w:val="none" w:sz="0" w:space="0" w:color="auto"/>
        <w:bottom w:val="none" w:sz="0" w:space="0" w:color="auto"/>
        <w:right w:val="none" w:sz="0" w:space="0" w:color="auto"/>
      </w:divBdr>
      <w:divsChild>
        <w:div w:id="111172723">
          <w:marLeft w:val="0"/>
          <w:marRight w:val="0"/>
          <w:marTop w:val="0"/>
          <w:marBottom w:val="0"/>
          <w:divBdr>
            <w:top w:val="none" w:sz="0" w:space="0" w:color="auto"/>
            <w:left w:val="none" w:sz="0" w:space="0" w:color="auto"/>
            <w:bottom w:val="none" w:sz="0" w:space="0" w:color="auto"/>
            <w:right w:val="none" w:sz="0" w:space="0" w:color="auto"/>
          </w:divBdr>
          <w:divsChild>
            <w:div w:id="10645301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27670823">
      <w:bodyDiv w:val="1"/>
      <w:marLeft w:val="0"/>
      <w:marRight w:val="0"/>
      <w:marTop w:val="0"/>
      <w:marBottom w:val="0"/>
      <w:divBdr>
        <w:top w:val="none" w:sz="0" w:space="0" w:color="auto"/>
        <w:left w:val="none" w:sz="0" w:space="0" w:color="auto"/>
        <w:bottom w:val="none" w:sz="0" w:space="0" w:color="auto"/>
        <w:right w:val="none" w:sz="0" w:space="0" w:color="auto"/>
      </w:divBdr>
    </w:div>
    <w:div w:id="1842968463">
      <w:bodyDiv w:val="1"/>
      <w:marLeft w:val="0"/>
      <w:marRight w:val="0"/>
      <w:marTop w:val="0"/>
      <w:marBottom w:val="0"/>
      <w:divBdr>
        <w:top w:val="none" w:sz="0" w:space="0" w:color="auto"/>
        <w:left w:val="none" w:sz="0" w:space="0" w:color="auto"/>
        <w:bottom w:val="none" w:sz="0" w:space="0" w:color="auto"/>
        <w:right w:val="none" w:sz="0" w:space="0" w:color="auto"/>
      </w:divBdr>
      <w:divsChild>
        <w:div w:id="438768235">
          <w:marLeft w:val="0"/>
          <w:marRight w:val="0"/>
          <w:marTop w:val="0"/>
          <w:marBottom w:val="0"/>
          <w:divBdr>
            <w:top w:val="none" w:sz="0" w:space="0" w:color="auto"/>
            <w:left w:val="none" w:sz="0" w:space="0" w:color="auto"/>
            <w:bottom w:val="none" w:sz="0" w:space="0" w:color="auto"/>
            <w:right w:val="none" w:sz="0" w:space="0" w:color="auto"/>
          </w:divBdr>
        </w:div>
        <w:div w:id="2108234523">
          <w:marLeft w:val="0"/>
          <w:marRight w:val="0"/>
          <w:marTop w:val="0"/>
          <w:marBottom w:val="0"/>
          <w:divBdr>
            <w:top w:val="none" w:sz="0" w:space="0" w:color="auto"/>
            <w:left w:val="none" w:sz="0" w:space="0" w:color="auto"/>
            <w:bottom w:val="none" w:sz="0" w:space="0" w:color="auto"/>
            <w:right w:val="none" w:sz="0" w:space="0" w:color="auto"/>
          </w:divBdr>
          <w:divsChild>
            <w:div w:id="2017413338">
              <w:marLeft w:val="-193"/>
              <w:marRight w:val="-193"/>
              <w:marTop w:val="0"/>
              <w:marBottom w:val="0"/>
              <w:divBdr>
                <w:top w:val="none" w:sz="0" w:space="0" w:color="auto"/>
                <w:left w:val="none" w:sz="0" w:space="0" w:color="auto"/>
                <w:bottom w:val="none" w:sz="0" w:space="0" w:color="auto"/>
                <w:right w:val="none" w:sz="0" w:space="0" w:color="auto"/>
              </w:divBdr>
              <w:divsChild>
                <w:div w:id="1373774500">
                  <w:marLeft w:val="193"/>
                  <w:marRight w:val="193"/>
                  <w:marTop w:val="0"/>
                  <w:marBottom w:val="0"/>
                  <w:divBdr>
                    <w:top w:val="none" w:sz="0" w:space="0" w:color="auto"/>
                    <w:left w:val="none" w:sz="0" w:space="0" w:color="auto"/>
                    <w:bottom w:val="none" w:sz="0" w:space="0" w:color="auto"/>
                    <w:right w:val="none" w:sz="0" w:space="0" w:color="auto"/>
                  </w:divBdr>
                  <w:divsChild>
                    <w:div w:id="258410198">
                      <w:marLeft w:val="288"/>
                      <w:marRight w:val="168"/>
                      <w:marTop w:val="100"/>
                      <w:marBottom w:val="100"/>
                      <w:divBdr>
                        <w:top w:val="none" w:sz="0" w:space="0" w:color="auto"/>
                        <w:left w:val="none" w:sz="0" w:space="0" w:color="auto"/>
                        <w:bottom w:val="none" w:sz="0" w:space="0" w:color="auto"/>
                        <w:right w:val="none" w:sz="0" w:space="0" w:color="auto"/>
                      </w:divBdr>
                    </w:div>
                  </w:divsChild>
                </w:div>
                <w:div w:id="485439543">
                  <w:marLeft w:val="193"/>
                  <w:marRight w:val="193"/>
                  <w:marTop w:val="0"/>
                  <w:marBottom w:val="0"/>
                  <w:divBdr>
                    <w:top w:val="none" w:sz="0" w:space="0" w:color="auto"/>
                    <w:left w:val="none" w:sz="0" w:space="0" w:color="auto"/>
                    <w:bottom w:val="none" w:sz="0" w:space="0" w:color="auto"/>
                    <w:right w:val="none" w:sz="0" w:space="0" w:color="auto"/>
                  </w:divBdr>
                  <w:divsChild>
                    <w:div w:id="152337971">
                      <w:marLeft w:val="288"/>
                      <w:marRight w:val="168"/>
                      <w:marTop w:val="100"/>
                      <w:marBottom w:val="100"/>
                      <w:divBdr>
                        <w:top w:val="none" w:sz="0" w:space="0" w:color="auto"/>
                        <w:left w:val="none" w:sz="0" w:space="0" w:color="auto"/>
                        <w:bottom w:val="none" w:sz="0" w:space="0" w:color="auto"/>
                        <w:right w:val="none" w:sz="0" w:space="0" w:color="auto"/>
                      </w:divBdr>
                    </w:div>
                  </w:divsChild>
                </w:div>
                <w:div w:id="2132508536">
                  <w:marLeft w:val="193"/>
                  <w:marRight w:val="193"/>
                  <w:marTop w:val="0"/>
                  <w:marBottom w:val="0"/>
                  <w:divBdr>
                    <w:top w:val="none" w:sz="0" w:space="0" w:color="auto"/>
                    <w:left w:val="none" w:sz="0" w:space="0" w:color="auto"/>
                    <w:bottom w:val="none" w:sz="0" w:space="0" w:color="auto"/>
                    <w:right w:val="none" w:sz="0" w:space="0" w:color="auto"/>
                  </w:divBdr>
                  <w:divsChild>
                    <w:div w:id="859583225">
                      <w:marLeft w:val="288"/>
                      <w:marRight w:val="168"/>
                      <w:marTop w:val="100"/>
                      <w:marBottom w:val="100"/>
                      <w:divBdr>
                        <w:top w:val="none" w:sz="0" w:space="0" w:color="auto"/>
                        <w:left w:val="none" w:sz="0" w:space="0" w:color="auto"/>
                        <w:bottom w:val="none" w:sz="0" w:space="0" w:color="auto"/>
                        <w:right w:val="none" w:sz="0" w:space="0" w:color="auto"/>
                      </w:divBdr>
                    </w:div>
                  </w:divsChild>
                </w:div>
                <w:div w:id="1741292747">
                  <w:marLeft w:val="193"/>
                  <w:marRight w:val="193"/>
                  <w:marTop w:val="0"/>
                  <w:marBottom w:val="0"/>
                  <w:divBdr>
                    <w:top w:val="none" w:sz="0" w:space="0" w:color="auto"/>
                    <w:left w:val="none" w:sz="0" w:space="0" w:color="auto"/>
                    <w:bottom w:val="none" w:sz="0" w:space="0" w:color="auto"/>
                    <w:right w:val="none" w:sz="0" w:space="0" w:color="auto"/>
                  </w:divBdr>
                  <w:divsChild>
                    <w:div w:id="1391224301">
                      <w:marLeft w:val="288"/>
                      <w:marRight w:val="168"/>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45648771">
      <w:bodyDiv w:val="1"/>
      <w:marLeft w:val="0"/>
      <w:marRight w:val="0"/>
      <w:marTop w:val="0"/>
      <w:marBottom w:val="0"/>
      <w:divBdr>
        <w:top w:val="none" w:sz="0" w:space="0" w:color="auto"/>
        <w:left w:val="none" w:sz="0" w:space="0" w:color="auto"/>
        <w:bottom w:val="none" w:sz="0" w:space="0" w:color="auto"/>
        <w:right w:val="none" w:sz="0" w:space="0" w:color="auto"/>
      </w:divBdr>
      <w:divsChild>
        <w:div w:id="2061007216">
          <w:marLeft w:val="0"/>
          <w:marRight w:val="0"/>
          <w:marTop w:val="0"/>
          <w:marBottom w:val="0"/>
          <w:divBdr>
            <w:top w:val="none" w:sz="0" w:space="0" w:color="auto"/>
            <w:left w:val="none" w:sz="0" w:space="0" w:color="auto"/>
            <w:bottom w:val="none" w:sz="0" w:space="0" w:color="auto"/>
            <w:right w:val="none" w:sz="0" w:space="0" w:color="auto"/>
          </w:divBdr>
          <w:divsChild>
            <w:div w:id="14512475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20306178">
      <w:bodyDiv w:val="1"/>
      <w:marLeft w:val="0"/>
      <w:marRight w:val="0"/>
      <w:marTop w:val="0"/>
      <w:marBottom w:val="0"/>
      <w:divBdr>
        <w:top w:val="none" w:sz="0" w:space="0" w:color="auto"/>
        <w:left w:val="none" w:sz="0" w:space="0" w:color="auto"/>
        <w:bottom w:val="none" w:sz="0" w:space="0" w:color="auto"/>
        <w:right w:val="none" w:sz="0" w:space="0" w:color="auto"/>
      </w:divBdr>
    </w:div>
    <w:div w:id="2066491778">
      <w:bodyDiv w:val="1"/>
      <w:marLeft w:val="0"/>
      <w:marRight w:val="0"/>
      <w:marTop w:val="0"/>
      <w:marBottom w:val="0"/>
      <w:divBdr>
        <w:top w:val="none" w:sz="0" w:space="0" w:color="auto"/>
        <w:left w:val="none" w:sz="0" w:space="0" w:color="auto"/>
        <w:bottom w:val="none" w:sz="0" w:space="0" w:color="auto"/>
        <w:right w:val="none" w:sz="0" w:space="0" w:color="auto"/>
      </w:divBdr>
      <w:divsChild>
        <w:div w:id="692850358">
          <w:marLeft w:val="0"/>
          <w:marRight w:val="0"/>
          <w:marTop w:val="0"/>
          <w:marBottom w:val="0"/>
          <w:divBdr>
            <w:top w:val="none" w:sz="0" w:space="0" w:color="auto"/>
            <w:left w:val="none" w:sz="0" w:space="0" w:color="auto"/>
            <w:bottom w:val="none" w:sz="0" w:space="0" w:color="auto"/>
            <w:right w:val="none" w:sz="0" w:space="0" w:color="auto"/>
          </w:divBdr>
          <w:divsChild>
            <w:div w:id="17868507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blogs/compute/running-ansys-fluent-on-amazon-ec2-c5n-with-elastic-fabric-adapter-ef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2020-10-31T22:24:00Z</dcterms:created>
  <dcterms:modified xsi:type="dcterms:W3CDTF">2020-10-31T23:02:00Z</dcterms:modified>
</cp:coreProperties>
</file>