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A45DC" w14:textId="46225C65"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66070560"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223028FB" w14:textId="77777777">
        <w:trPr>
          <w:jc w:val="center"/>
        </w:trPr>
        <w:tc>
          <w:tcPr>
            <w:tcW w:w="4508" w:type="dxa"/>
          </w:tcPr>
          <w:p w14:paraId="366628D7" w14:textId="77777777" w:rsidR="00720545" w:rsidRDefault="00000000">
            <w:pPr>
              <w:rPr>
                <w:rFonts w:ascii="Arial" w:eastAsia="Arial" w:hAnsi="Arial" w:cs="Arial"/>
              </w:rPr>
            </w:pPr>
            <w:r>
              <w:rPr>
                <w:rFonts w:ascii="Arial" w:eastAsia="Arial" w:hAnsi="Arial" w:cs="Arial"/>
              </w:rPr>
              <w:t>Date</w:t>
            </w:r>
          </w:p>
        </w:tc>
        <w:tc>
          <w:tcPr>
            <w:tcW w:w="4843" w:type="dxa"/>
          </w:tcPr>
          <w:p w14:paraId="08398857" w14:textId="7474160B" w:rsidR="00720545" w:rsidRDefault="00F10FBD">
            <w:pPr>
              <w:rPr>
                <w:rFonts w:ascii="Arial" w:eastAsia="Arial" w:hAnsi="Arial" w:cs="Arial"/>
              </w:rPr>
            </w:pPr>
            <w:r w:rsidRPr="00F10FBD">
              <w:rPr>
                <w:rFonts w:ascii="Arial" w:eastAsia="Arial" w:hAnsi="Arial" w:cs="Arial"/>
              </w:rPr>
              <w:t>22 June 2025</w:t>
            </w:r>
          </w:p>
        </w:tc>
      </w:tr>
      <w:tr w:rsidR="00720545" w14:paraId="20C7BF55" w14:textId="77777777">
        <w:trPr>
          <w:jc w:val="center"/>
        </w:trPr>
        <w:tc>
          <w:tcPr>
            <w:tcW w:w="4508" w:type="dxa"/>
          </w:tcPr>
          <w:p w14:paraId="6659C707" w14:textId="77777777" w:rsidR="00720545" w:rsidRDefault="00000000">
            <w:pPr>
              <w:rPr>
                <w:rFonts w:ascii="Arial" w:eastAsia="Arial" w:hAnsi="Arial" w:cs="Arial"/>
              </w:rPr>
            </w:pPr>
            <w:r>
              <w:rPr>
                <w:rFonts w:ascii="Arial" w:eastAsia="Arial" w:hAnsi="Arial" w:cs="Arial"/>
              </w:rPr>
              <w:t>Project Name</w:t>
            </w:r>
          </w:p>
        </w:tc>
        <w:tc>
          <w:tcPr>
            <w:tcW w:w="4843" w:type="dxa"/>
          </w:tcPr>
          <w:p w14:paraId="3A416197" w14:textId="77777777" w:rsidR="00F10FBD" w:rsidRPr="00F10FBD" w:rsidRDefault="00F10FBD" w:rsidP="00F10FBD">
            <w:pPr>
              <w:rPr>
                <w:rFonts w:ascii="Arial" w:eastAsia="Arial" w:hAnsi="Arial" w:cs="Arial"/>
              </w:rPr>
            </w:pPr>
            <w:r w:rsidRPr="00F10FBD">
              <w:rPr>
                <w:rFonts w:ascii="Arial" w:eastAsia="Arial" w:hAnsi="Arial" w:cs="Arial"/>
              </w:rPr>
              <w:t>Global Energy Trends: A Comprehensive </w:t>
            </w:r>
          </w:p>
          <w:p w14:paraId="79499E37" w14:textId="77777777" w:rsidR="00F10FBD" w:rsidRPr="00F10FBD" w:rsidRDefault="00F10FBD" w:rsidP="00F10FBD">
            <w:pPr>
              <w:rPr>
                <w:rFonts w:ascii="Arial" w:eastAsia="Arial" w:hAnsi="Arial" w:cs="Arial"/>
              </w:rPr>
            </w:pPr>
            <w:r w:rsidRPr="00F10FBD">
              <w:rPr>
                <w:rFonts w:ascii="Arial" w:eastAsia="Arial" w:hAnsi="Arial" w:cs="Arial"/>
              </w:rPr>
              <w:t>Analysis of Key Regions and Generation </w:t>
            </w:r>
          </w:p>
          <w:p w14:paraId="1D354C95" w14:textId="1847A54F" w:rsidR="00720545" w:rsidRDefault="00F10FBD" w:rsidP="00F10FBD">
            <w:pPr>
              <w:rPr>
                <w:rFonts w:ascii="Arial" w:eastAsia="Arial" w:hAnsi="Arial" w:cs="Arial"/>
              </w:rPr>
            </w:pPr>
            <w:r w:rsidRPr="00F10FBD">
              <w:rPr>
                <w:rFonts w:ascii="Arial" w:eastAsia="Arial" w:hAnsi="Arial" w:cs="Arial"/>
              </w:rPr>
              <w:t>Modes using Power BI</w:t>
            </w:r>
          </w:p>
        </w:tc>
      </w:tr>
      <w:tr w:rsidR="00720545" w14:paraId="52F170A6" w14:textId="77777777">
        <w:trPr>
          <w:jc w:val="center"/>
        </w:trPr>
        <w:tc>
          <w:tcPr>
            <w:tcW w:w="4508" w:type="dxa"/>
          </w:tcPr>
          <w:p w14:paraId="2A03D322" w14:textId="77777777" w:rsidR="00720545" w:rsidRDefault="00000000">
            <w:pPr>
              <w:rPr>
                <w:rFonts w:ascii="Arial" w:eastAsia="Arial" w:hAnsi="Arial" w:cs="Arial"/>
              </w:rPr>
            </w:pPr>
            <w:r>
              <w:rPr>
                <w:rFonts w:ascii="Arial" w:eastAsia="Arial" w:hAnsi="Arial" w:cs="Arial"/>
              </w:rPr>
              <w:t>Maximum Marks</w:t>
            </w:r>
          </w:p>
        </w:tc>
        <w:tc>
          <w:tcPr>
            <w:tcW w:w="4843" w:type="dxa"/>
          </w:tcPr>
          <w:p w14:paraId="6FC77C1E" w14:textId="70451DDC" w:rsidR="00720545" w:rsidRDefault="00A20696">
            <w:pPr>
              <w:rPr>
                <w:rFonts w:ascii="Arial" w:eastAsia="Arial" w:hAnsi="Arial" w:cs="Arial"/>
              </w:rPr>
            </w:pPr>
            <w:r>
              <w:rPr>
                <w:rFonts w:ascii="Arial" w:eastAsia="Arial" w:hAnsi="Arial" w:cs="Arial"/>
              </w:rPr>
              <w:t>5 Marks</w:t>
            </w:r>
          </w:p>
        </w:tc>
      </w:tr>
    </w:tbl>
    <w:p w14:paraId="137B83EC" w14:textId="77777777" w:rsidR="00720545" w:rsidRDefault="00720545">
      <w:pPr>
        <w:rPr>
          <w:rFonts w:ascii="Cambria" w:eastAsia="Cambria" w:hAnsi="Cambria" w:cs="Cambria"/>
          <w:color w:val="000000"/>
          <w:sz w:val="24"/>
          <w:szCs w:val="24"/>
          <w:highlight w:val="white"/>
        </w:rPr>
      </w:pPr>
    </w:p>
    <w:p w14:paraId="135002BD" w14:textId="0B38CB84" w:rsidR="00F10FBD" w:rsidRPr="00F10FBD" w:rsidRDefault="00F10FBD" w:rsidP="00F10FBD">
      <w:pPr>
        <w:shd w:val="clear" w:color="auto" w:fill="FFFFFF"/>
        <w:jc w:val="center"/>
        <w:rPr>
          <w:rFonts w:ascii="Times New Roman" w:eastAsia="Times New Roman" w:hAnsi="Times New Roman" w:cs="Times New Roman"/>
          <w:sz w:val="24"/>
          <w:szCs w:val="24"/>
        </w:rPr>
      </w:pPr>
      <w:r w:rsidRPr="00F10FBD">
        <w:rPr>
          <w:rFonts w:ascii="Times New Roman" w:eastAsia="Times New Roman" w:hAnsi="Times New Roman" w:cs="Times New Roman"/>
          <w:sz w:val="24"/>
          <w:szCs w:val="24"/>
        </w:rPr>
        <w:t>A report is a comprehensive document that provides a detailed and structured account of data analysis, findings, and insights. It is typically used for in-depth analysis, documentation, and communication of results. Reports are suitable for a diverse audience, including decision-makers, analysts, and stakeholders who need a comprehensive understanding of the data.</w:t>
      </w:r>
    </w:p>
    <w:p w14:paraId="29E6CBAE" w14:textId="5F2671DA" w:rsidR="00720545" w:rsidRDefault="00F10FBD" w:rsidP="004A4300">
      <w:pPr>
        <w:shd w:val="clear" w:color="auto" w:fill="FFFFFF"/>
        <w:rPr>
          <w:sz w:val="24"/>
          <w:szCs w:val="24"/>
        </w:rPr>
      </w:pPr>
      <w:r w:rsidRPr="00F10FBD">
        <w:rPr>
          <w:rFonts w:ascii="Times New Roman" w:hAnsi="Times New Roman" w:cs="Times New Roman"/>
          <w:sz w:val="24"/>
          <w:szCs w:val="24"/>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r w:rsidRPr="00F10FBD">
        <w:rPr>
          <w:sz w:val="24"/>
          <w:szCs w:val="24"/>
        </w:rPr>
        <w:t>.</w:t>
      </w:r>
    </w:p>
    <w:p w14:paraId="21EB7534" w14:textId="4DE61AD1" w:rsidR="00224306" w:rsidRPr="004A4300" w:rsidRDefault="00224306" w:rsidP="004A4300">
      <w:pPr>
        <w:shd w:val="clear" w:color="auto" w:fill="FFFFFF"/>
        <w:rPr>
          <w:sz w:val="24"/>
          <w:szCs w:val="24"/>
        </w:rPr>
      </w:pPr>
      <w:r>
        <w:rPr>
          <w:noProof/>
          <w:sz w:val="24"/>
          <w:szCs w:val="24"/>
        </w:rPr>
        <w:drawing>
          <wp:inline distT="0" distB="0" distL="0" distR="0" wp14:anchorId="0F9F954D" wp14:editId="279EE705">
            <wp:extent cx="5731510" cy="3208020"/>
            <wp:effectExtent l="0" t="0" r="2540" b="0"/>
            <wp:docPr id="206582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29676" name="Picture 2065829676"/>
                    <pic:cNvPicPr/>
                  </pic:nvPicPr>
                  <pic:blipFill>
                    <a:blip r:embed="rId6">
                      <a:extLst>
                        <a:ext uri="{28A0092B-C50C-407E-A947-70E740481C1C}">
                          <a14:useLocalDpi xmlns:a14="http://schemas.microsoft.com/office/drawing/2010/main" val="0"/>
                        </a:ext>
                      </a:extLst>
                    </a:blip>
                    <a:stretch>
                      <a:fillRect/>
                    </a:stretch>
                  </pic:blipFill>
                  <pic:spPr>
                    <a:xfrm>
                      <a:off x="0" y="0"/>
                      <a:ext cx="5731510" cy="3208020"/>
                    </a:xfrm>
                    <a:prstGeom prst="rect">
                      <a:avLst/>
                    </a:prstGeom>
                  </pic:spPr>
                </pic:pic>
              </a:graphicData>
            </a:graphic>
          </wp:inline>
        </w:drawing>
      </w:r>
    </w:p>
    <w:p w14:paraId="2B702602" w14:textId="77777777" w:rsidR="004A4300" w:rsidRDefault="004A4300">
      <w:pPr>
        <w:pBdr>
          <w:top w:val="nil"/>
          <w:left w:val="nil"/>
          <w:bottom w:val="nil"/>
          <w:right w:val="nil"/>
          <w:between w:val="nil"/>
        </w:pBdr>
        <w:spacing w:after="200" w:line="240" w:lineRule="auto"/>
        <w:rPr>
          <w:rFonts w:ascii="Arial" w:eastAsia="Arial" w:hAnsi="Arial" w:cs="Arial"/>
          <w:color w:val="000000"/>
          <w:sz w:val="20"/>
          <w:szCs w:val="20"/>
        </w:rPr>
      </w:pPr>
    </w:p>
    <w:p w14:paraId="5E678C7C" w14:textId="70D16081" w:rsidR="00720545" w:rsidRDefault="00A20696">
      <w:pPr>
        <w:pBdr>
          <w:top w:val="nil"/>
          <w:left w:val="nil"/>
          <w:bottom w:val="nil"/>
          <w:right w:val="nil"/>
          <w:between w:val="nil"/>
        </w:pBdr>
        <w:spacing w:after="200" w:line="240" w:lineRule="auto"/>
        <w:rPr>
          <w:rFonts w:ascii="Arial" w:eastAsia="Arial" w:hAnsi="Arial" w:cs="Arial"/>
          <w:color w:val="000000"/>
          <w:sz w:val="20"/>
          <w:szCs w:val="20"/>
        </w:rPr>
      </w:pPr>
      <w:r w:rsidRPr="00A20696">
        <w:rPr>
          <w:rFonts w:ascii="Arial" w:eastAsia="Arial" w:hAnsi="Arial" w:cs="Arial"/>
          <w:color w:val="000000"/>
          <w:sz w:val="20"/>
          <w:szCs w:val="20"/>
        </w:rPr>
        <w:t>Observations drawn from reports in Power BI can provide valuable insights into business performance and trends.</w:t>
      </w:r>
    </w:p>
    <w:p w14:paraId="526F0F93" w14:textId="65890015" w:rsidR="00A20696" w:rsidRPr="004A4300" w:rsidRDefault="00642171" w:rsidP="00A20696">
      <w:p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b/>
          <w:bCs/>
          <w:color w:val="000000"/>
          <w:sz w:val="24"/>
          <w:szCs w:val="24"/>
        </w:rPr>
        <w:t xml:space="preserve">1. </w:t>
      </w:r>
      <w:r w:rsidR="00A20696" w:rsidRPr="004A4300">
        <w:rPr>
          <w:rFonts w:ascii="Times New Roman" w:eastAsia="Arial" w:hAnsi="Times New Roman" w:cs="Times New Roman"/>
          <w:b/>
          <w:bCs/>
          <w:color w:val="000000"/>
          <w:sz w:val="24"/>
          <w:szCs w:val="24"/>
        </w:rPr>
        <w:t>Trends Over Time</w:t>
      </w:r>
      <w:r w:rsidR="00A20696" w:rsidRPr="004A4300">
        <w:rPr>
          <w:rFonts w:ascii="Times New Roman" w:eastAsia="Arial" w:hAnsi="Times New Roman" w:cs="Times New Roman"/>
          <w:color w:val="000000"/>
          <w:sz w:val="24"/>
          <w:szCs w:val="24"/>
        </w:rPr>
        <w:t>:</w:t>
      </w:r>
    </w:p>
    <w:p w14:paraId="5E0CE82A" w14:textId="77777777" w:rsidR="004A4300" w:rsidRDefault="004A4300" w:rsidP="004A4300">
      <w:pPr>
        <w:pBdr>
          <w:top w:val="nil"/>
          <w:left w:val="nil"/>
          <w:bottom w:val="nil"/>
          <w:right w:val="nil"/>
          <w:between w:val="nil"/>
        </w:pBdr>
        <w:spacing w:after="200" w:line="240" w:lineRule="auto"/>
        <w:rPr>
          <w:rFonts w:ascii="Times New Roman" w:eastAsia="Arial" w:hAnsi="Times New Roman" w:cs="Times New Roman"/>
          <w:b/>
          <w:bCs/>
          <w:color w:val="000000"/>
          <w:sz w:val="24"/>
          <w:szCs w:val="24"/>
        </w:rPr>
      </w:pPr>
      <w:r w:rsidRPr="004A4300">
        <w:rPr>
          <w:rFonts w:ascii="Times New Roman" w:eastAsia="Arial" w:hAnsi="Times New Roman" w:cs="Times New Roman"/>
          <w:b/>
          <w:bCs/>
          <w:color w:val="000000"/>
          <w:sz w:val="24"/>
          <w:szCs w:val="24"/>
        </w:rPr>
        <w:t>Global and Continental Energy Growth</w:t>
      </w:r>
    </w:p>
    <w:p w14:paraId="0BB96EB4" w14:textId="77777777" w:rsidR="004A4300" w:rsidRPr="004A4300" w:rsidRDefault="004A4300" w:rsidP="004A4300">
      <w:pPr>
        <w:numPr>
          <w:ilvl w:val="0"/>
          <w:numId w:val="10"/>
        </w:num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color w:val="000000"/>
          <w:sz w:val="24"/>
          <w:szCs w:val="24"/>
        </w:rPr>
        <w:t>Asia leads the world in total energy consumption, maintaining consistent growth across the 30-year period.</w:t>
      </w:r>
    </w:p>
    <w:p w14:paraId="63D89EF8" w14:textId="77777777" w:rsidR="004A4300" w:rsidRPr="004A4300" w:rsidRDefault="004A4300" w:rsidP="004A4300">
      <w:pPr>
        <w:numPr>
          <w:ilvl w:val="0"/>
          <w:numId w:val="10"/>
        </w:num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color w:val="000000"/>
          <w:sz w:val="24"/>
          <w:szCs w:val="24"/>
        </w:rPr>
        <w:lastRenderedPageBreak/>
        <w:t>China has emerged as the top consumer of power, surpassing traditional leaders like the United States since 2010.</w:t>
      </w:r>
    </w:p>
    <w:p w14:paraId="0857770D" w14:textId="77777777" w:rsidR="004A4300" w:rsidRPr="004A4300" w:rsidRDefault="004A4300" w:rsidP="004A4300">
      <w:pPr>
        <w:numPr>
          <w:ilvl w:val="0"/>
          <w:numId w:val="10"/>
        </w:num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color w:val="000000"/>
          <w:sz w:val="24"/>
          <w:szCs w:val="24"/>
        </w:rPr>
        <w:t>Hydroelectricity has seen a steady and significant rise, confirming its growing role as a renewable energy pillar.</w:t>
      </w:r>
    </w:p>
    <w:p w14:paraId="1E7ED0DE" w14:textId="77777777" w:rsidR="004A4300" w:rsidRPr="004A4300" w:rsidRDefault="004A4300" w:rsidP="004A4300">
      <w:pPr>
        <w:numPr>
          <w:ilvl w:val="0"/>
          <w:numId w:val="10"/>
        </w:num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color w:val="000000"/>
          <w:sz w:val="24"/>
          <w:szCs w:val="24"/>
        </w:rPr>
        <w:t>Tidal energy, although relatively new, now comprises 42.95% of renewable energy share, showcasing a shift toward ocean-based solutions.</w:t>
      </w:r>
    </w:p>
    <w:p w14:paraId="119D2983" w14:textId="77777777" w:rsidR="004A4300" w:rsidRPr="004A4300" w:rsidRDefault="004A4300" w:rsidP="004A4300">
      <w:p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b/>
          <w:bCs/>
          <w:color w:val="000000"/>
          <w:sz w:val="24"/>
          <w:szCs w:val="24"/>
        </w:rPr>
        <w:t>Renewable Energy Evolution (1990–2017)</w:t>
      </w:r>
    </w:p>
    <w:p w14:paraId="554E478D" w14:textId="77777777" w:rsidR="004A4300" w:rsidRPr="004A4300" w:rsidRDefault="004A4300" w:rsidP="004A4300">
      <w:pPr>
        <w:pBdr>
          <w:top w:val="nil"/>
          <w:left w:val="nil"/>
          <w:bottom w:val="nil"/>
          <w:right w:val="nil"/>
          <w:between w:val="nil"/>
        </w:pBdr>
        <w:spacing w:after="200" w:line="240" w:lineRule="auto"/>
        <w:rPr>
          <w:rFonts w:ascii="Times New Roman" w:eastAsia="Arial" w:hAnsi="Times New Roman" w:cs="Times New Roman"/>
          <w:color w:val="000000"/>
          <w:sz w:val="24"/>
          <w:szCs w:val="24"/>
        </w:rPr>
      </w:pPr>
    </w:p>
    <w:p w14:paraId="371BD892" w14:textId="77777777" w:rsidR="004A4300" w:rsidRPr="004A4300" w:rsidRDefault="004A4300" w:rsidP="004A4300">
      <w:pPr>
        <w:numPr>
          <w:ilvl w:val="0"/>
          <w:numId w:val="11"/>
        </w:num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color w:val="000000"/>
          <w:sz w:val="24"/>
          <w:szCs w:val="24"/>
        </w:rPr>
        <w:t>Biofuel increased from 3.88 TWh to 1,127.31 TWh, while Geothermal ranged from 36.42 TWh onwards, indicating a positive correlation between them.</w:t>
      </w:r>
    </w:p>
    <w:p w14:paraId="5B899F9D" w14:textId="46DB5FF3" w:rsidR="004A4300" w:rsidRPr="004A4300" w:rsidRDefault="004A4300" w:rsidP="004A4300">
      <w:pPr>
        <w:numPr>
          <w:ilvl w:val="0"/>
          <w:numId w:val="11"/>
        </w:numPr>
        <w:pBdr>
          <w:top w:val="nil"/>
          <w:left w:val="nil"/>
          <w:bottom w:val="nil"/>
          <w:right w:val="nil"/>
          <w:between w:val="nil"/>
        </w:pBdr>
        <w:spacing w:after="200" w:line="240" w:lineRule="auto"/>
        <w:rPr>
          <w:rFonts w:ascii="Times New Roman" w:eastAsia="Arial" w:hAnsi="Times New Roman" w:cs="Times New Roman"/>
          <w:color w:val="000000"/>
          <w:sz w:val="24"/>
          <w:szCs w:val="24"/>
        </w:rPr>
      </w:pPr>
      <w:r w:rsidRPr="004A4300">
        <w:rPr>
          <w:rFonts w:ascii="Times New Roman" w:eastAsia="Arial" w:hAnsi="Times New Roman" w:cs="Times New Roman"/>
          <w:color w:val="000000"/>
          <w:sz w:val="24"/>
          <w:szCs w:val="24"/>
        </w:rPr>
        <w:t>Renewable sources like Solar PV and Wind have accelerated post-2010, driven by falling costs and global climate targets.</w:t>
      </w:r>
    </w:p>
    <w:p w14:paraId="4CE8103B" w14:textId="77777777" w:rsidR="00F10FBD" w:rsidRPr="00A20696" w:rsidRDefault="00F10FBD" w:rsidP="004A4300">
      <w:pPr>
        <w:pBdr>
          <w:top w:val="nil"/>
          <w:left w:val="nil"/>
          <w:bottom w:val="nil"/>
          <w:right w:val="nil"/>
          <w:between w:val="nil"/>
        </w:pBdr>
        <w:spacing w:after="200" w:line="240" w:lineRule="auto"/>
        <w:rPr>
          <w:rFonts w:ascii="Arial" w:eastAsia="Arial" w:hAnsi="Arial" w:cs="Arial"/>
          <w:color w:val="000000"/>
          <w:sz w:val="20"/>
          <w:szCs w:val="20"/>
        </w:rPr>
      </w:pPr>
    </w:p>
    <w:p w14:paraId="391B2FB8"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b/>
          <w:bCs/>
          <w:sz w:val="24"/>
          <w:szCs w:val="24"/>
        </w:rPr>
        <w:t>2. Performance Comparisons</w:t>
      </w:r>
      <w:r w:rsidRPr="004A4300">
        <w:rPr>
          <w:rFonts w:ascii="Times New Roman" w:hAnsi="Times New Roman" w:cs="Times New Roman"/>
          <w:sz w:val="24"/>
          <w:szCs w:val="24"/>
        </w:rPr>
        <w:t>:</w:t>
      </w:r>
    </w:p>
    <w:p w14:paraId="63027E1C"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b/>
          <w:bCs/>
          <w:sz w:val="24"/>
          <w:szCs w:val="24"/>
        </w:rPr>
        <w:t>Top 20 Countries:</w:t>
      </w:r>
    </w:p>
    <w:p w14:paraId="71ACD0F6" w14:textId="77777777" w:rsidR="004A4300" w:rsidRPr="004A4300" w:rsidRDefault="004A4300" w:rsidP="004A4300">
      <w:pPr>
        <w:numPr>
          <w:ilvl w:val="0"/>
          <w:numId w:val="12"/>
        </w:numPr>
        <w:rPr>
          <w:rFonts w:ascii="Times New Roman" w:hAnsi="Times New Roman" w:cs="Times New Roman"/>
          <w:sz w:val="24"/>
          <w:szCs w:val="24"/>
        </w:rPr>
      </w:pPr>
      <w:r w:rsidRPr="004A4300">
        <w:rPr>
          <w:rFonts w:ascii="Times New Roman" w:hAnsi="Times New Roman" w:cs="Times New Roman"/>
          <w:sz w:val="24"/>
          <w:szCs w:val="24"/>
        </w:rPr>
        <w:t>Total energy (TWh) per country ranges from as low as 12.40 TWh to 1,819.94 TWh, showing a significant performance gap.</w:t>
      </w:r>
    </w:p>
    <w:p w14:paraId="0DD95093" w14:textId="77777777" w:rsidR="004A4300" w:rsidRPr="004A4300" w:rsidRDefault="004A4300" w:rsidP="004A4300">
      <w:pPr>
        <w:numPr>
          <w:ilvl w:val="0"/>
          <w:numId w:val="12"/>
        </w:numPr>
        <w:rPr>
          <w:rFonts w:ascii="Times New Roman" w:hAnsi="Times New Roman" w:cs="Times New Roman"/>
          <w:sz w:val="24"/>
          <w:szCs w:val="24"/>
        </w:rPr>
      </w:pPr>
      <w:r w:rsidRPr="004A4300">
        <w:rPr>
          <w:rFonts w:ascii="Times New Roman" w:hAnsi="Times New Roman" w:cs="Times New Roman"/>
          <w:sz w:val="24"/>
          <w:szCs w:val="24"/>
        </w:rPr>
        <w:t>The United States, despite declining slightly in recent years, remains a top contributor in both renewable and non-renewable sectors.</w:t>
      </w:r>
    </w:p>
    <w:p w14:paraId="64F4DDC2"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b/>
          <w:bCs/>
          <w:sz w:val="24"/>
          <w:szCs w:val="24"/>
        </w:rPr>
        <w:t>Continent-Level Consumption:</w:t>
      </w:r>
    </w:p>
    <w:p w14:paraId="20EC4AD2" w14:textId="77777777" w:rsidR="004A4300" w:rsidRPr="004A4300" w:rsidRDefault="004A4300" w:rsidP="004A4300">
      <w:pPr>
        <w:numPr>
          <w:ilvl w:val="0"/>
          <w:numId w:val="13"/>
        </w:numPr>
        <w:rPr>
          <w:rFonts w:ascii="Times New Roman" w:hAnsi="Times New Roman" w:cs="Times New Roman"/>
          <w:sz w:val="24"/>
          <w:szCs w:val="24"/>
        </w:rPr>
      </w:pPr>
      <w:r w:rsidRPr="004A4300">
        <w:rPr>
          <w:rFonts w:ascii="Times New Roman" w:hAnsi="Times New Roman" w:cs="Times New Roman"/>
          <w:sz w:val="24"/>
          <w:szCs w:val="24"/>
        </w:rPr>
        <w:t>Africa has shown modest but consistent growth in energy consumption. Among African nations:</w:t>
      </w:r>
    </w:p>
    <w:p w14:paraId="23FF30FC" w14:textId="77777777" w:rsidR="004A4300" w:rsidRPr="004A4300" w:rsidRDefault="004A4300" w:rsidP="004A4300">
      <w:pPr>
        <w:numPr>
          <w:ilvl w:val="1"/>
          <w:numId w:val="13"/>
        </w:numPr>
        <w:rPr>
          <w:rFonts w:ascii="Times New Roman" w:hAnsi="Times New Roman" w:cs="Times New Roman"/>
          <w:sz w:val="24"/>
          <w:szCs w:val="24"/>
        </w:rPr>
      </w:pPr>
      <w:r w:rsidRPr="004A4300">
        <w:rPr>
          <w:rFonts w:ascii="Times New Roman" w:hAnsi="Times New Roman" w:cs="Times New Roman"/>
          <w:sz w:val="24"/>
          <w:szCs w:val="24"/>
        </w:rPr>
        <w:t>South Africa and Egypt lead the region.</w:t>
      </w:r>
    </w:p>
    <w:p w14:paraId="1006ED18" w14:textId="77777777" w:rsidR="004A4300" w:rsidRPr="004A4300" w:rsidRDefault="004A4300" w:rsidP="004A4300">
      <w:pPr>
        <w:numPr>
          <w:ilvl w:val="1"/>
          <w:numId w:val="13"/>
        </w:numPr>
        <w:rPr>
          <w:rFonts w:ascii="Times New Roman" w:hAnsi="Times New Roman" w:cs="Times New Roman"/>
          <w:sz w:val="24"/>
          <w:szCs w:val="24"/>
        </w:rPr>
      </w:pPr>
      <w:r w:rsidRPr="004A4300">
        <w:rPr>
          <w:rFonts w:ascii="Times New Roman" w:hAnsi="Times New Roman" w:cs="Times New Roman"/>
          <w:sz w:val="24"/>
          <w:szCs w:val="24"/>
        </w:rPr>
        <w:t>Nigeria and Algeria have shown gradual upward trends post-2005.</w:t>
      </w:r>
    </w:p>
    <w:p w14:paraId="74C27860" w14:textId="77777777" w:rsidR="004A4300" w:rsidRPr="004A4300" w:rsidRDefault="004A4300" w:rsidP="004A4300">
      <w:pPr>
        <w:numPr>
          <w:ilvl w:val="0"/>
          <w:numId w:val="13"/>
        </w:numPr>
        <w:rPr>
          <w:rFonts w:ascii="Times New Roman" w:hAnsi="Times New Roman" w:cs="Times New Roman"/>
          <w:sz w:val="24"/>
          <w:szCs w:val="24"/>
        </w:rPr>
      </w:pPr>
      <w:r w:rsidRPr="004A4300">
        <w:rPr>
          <w:rFonts w:ascii="Times New Roman" w:hAnsi="Times New Roman" w:cs="Times New Roman"/>
          <w:sz w:val="24"/>
          <w:szCs w:val="24"/>
        </w:rPr>
        <w:t>OECD, BRICS, and CIS regions differ sharply:</w:t>
      </w:r>
    </w:p>
    <w:p w14:paraId="6390DFBA" w14:textId="77777777" w:rsidR="004A4300" w:rsidRPr="004A4300" w:rsidRDefault="004A4300" w:rsidP="004A4300">
      <w:pPr>
        <w:numPr>
          <w:ilvl w:val="1"/>
          <w:numId w:val="13"/>
        </w:numPr>
        <w:rPr>
          <w:rFonts w:ascii="Times New Roman" w:hAnsi="Times New Roman" w:cs="Times New Roman"/>
          <w:sz w:val="24"/>
          <w:szCs w:val="24"/>
        </w:rPr>
      </w:pPr>
      <w:r w:rsidRPr="004A4300">
        <w:rPr>
          <w:rFonts w:ascii="Times New Roman" w:hAnsi="Times New Roman" w:cs="Times New Roman"/>
          <w:sz w:val="24"/>
          <w:szCs w:val="24"/>
        </w:rPr>
        <w:t>OECD: Highest average consumption.</w:t>
      </w:r>
    </w:p>
    <w:p w14:paraId="47E3CF4B" w14:textId="77777777" w:rsidR="004A4300" w:rsidRPr="004A4300" w:rsidRDefault="004A4300" w:rsidP="004A4300">
      <w:pPr>
        <w:numPr>
          <w:ilvl w:val="1"/>
          <w:numId w:val="13"/>
        </w:numPr>
        <w:rPr>
          <w:rFonts w:ascii="Times New Roman" w:hAnsi="Times New Roman" w:cs="Times New Roman"/>
          <w:sz w:val="24"/>
          <w:szCs w:val="24"/>
        </w:rPr>
      </w:pPr>
      <w:r w:rsidRPr="004A4300">
        <w:rPr>
          <w:rFonts w:ascii="Times New Roman" w:hAnsi="Times New Roman" w:cs="Times New Roman"/>
          <w:sz w:val="24"/>
          <w:szCs w:val="24"/>
        </w:rPr>
        <w:t>BRICS: Rapidly growing, led by China and India.</w:t>
      </w:r>
    </w:p>
    <w:p w14:paraId="0994393B" w14:textId="77777777" w:rsidR="004A4300" w:rsidRPr="004A4300" w:rsidRDefault="004A4300" w:rsidP="004A4300">
      <w:pPr>
        <w:numPr>
          <w:ilvl w:val="1"/>
          <w:numId w:val="13"/>
        </w:numPr>
        <w:rPr>
          <w:rFonts w:ascii="Times New Roman" w:hAnsi="Times New Roman" w:cs="Times New Roman"/>
          <w:sz w:val="24"/>
          <w:szCs w:val="24"/>
        </w:rPr>
      </w:pPr>
      <w:r w:rsidRPr="004A4300">
        <w:rPr>
          <w:rFonts w:ascii="Times New Roman" w:hAnsi="Times New Roman" w:cs="Times New Roman"/>
          <w:sz w:val="24"/>
          <w:szCs w:val="24"/>
        </w:rPr>
        <w:t>CIS: Lowest, with relatively stable trends.</w:t>
      </w:r>
    </w:p>
    <w:p w14:paraId="16643CC4" w14:textId="77777777" w:rsidR="004A4300" w:rsidRPr="004A4300" w:rsidRDefault="004A4300" w:rsidP="004A4300">
      <w:pPr>
        <w:rPr>
          <w:rFonts w:ascii="Times New Roman" w:hAnsi="Times New Roman" w:cs="Times New Roman"/>
          <w:sz w:val="24"/>
          <w:szCs w:val="24"/>
        </w:rPr>
      </w:pPr>
    </w:p>
    <w:p w14:paraId="1E7BE4C0"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b/>
          <w:bCs/>
          <w:sz w:val="24"/>
          <w:szCs w:val="24"/>
        </w:rPr>
        <w:t>3. Potential for Segmentation &amp; Strategy</w:t>
      </w:r>
      <w:r w:rsidRPr="004A4300">
        <w:rPr>
          <w:rFonts w:ascii="Times New Roman" w:hAnsi="Times New Roman" w:cs="Times New Roman"/>
          <w:sz w:val="24"/>
          <w:szCs w:val="24"/>
        </w:rPr>
        <w:t>:</w:t>
      </w:r>
    </w:p>
    <w:p w14:paraId="12036069"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Though demographic data is not available in this dataset, regional energy performance can act as a segmentation proxy:</w:t>
      </w:r>
    </w:p>
    <w:p w14:paraId="26965AA3" w14:textId="77777777" w:rsidR="004A4300" w:rsidRPr="004A4300" w:rsidRDefault="004A4300" w:rsidP="004A4300">
      <w:pPr>
        <w:numPr>
          <w:ilvl w:val="0"/>
          <w:numId w:val="14"/>
        </w:numPr>
        <w:rPr>
          <w:rFonts w:ascii="Times New Roman" w:hAnsi="Times New Roman" w:cs="Times New Roman"/>
          <w:sz w:val="24"/>
          <w:szCs w:val="24"/>
        </w:rPr>
      </w:pPr>
      <w:r w:rsidRPr="004A4300">
        <w:rPr>
          <w:rFonts w:ascii="Times New Roman" w:hAnsi="Times New Roman" w:cs="Times New Roman"/>
          <w:sz w:val="24"/>
          <w:szCs w:val="24"/>
        </w:rPr>
        <w:t>High-Performing Regions (Asia, North America):</w:t>
      </w:r>
    </w:p>
    <w:p w14:paraId="711FE56C" w14:textId="77777777" w:rsidR="004A4300" w:rsidRPr="004A4300" w:rsidRDefault="004A4300" w:rsidP="004A4300">
      <w:pPr>
        <w:numPr>
          <w:ilvl w:val="1"/>
          <w:numId w:val="14"/>
        </w:numPr>
        <w:rPr>
          <w:rFonts w:ascii="Times New Roman" w:hAnsi="Times New Roman" w:cs="Times New Roman"/>
          <w:sz w:val="24"/>
          <w:szCs w:val="24"/>
        </w:rPr>
      </w:pPr>
      <w:r w:rsidRPr="004A4300">
        <w:rPr>
          <w:rFonts w:ascii="Times New Roman" w:hAnsi="Times New Roman" w:cs="Times New Roman"/>
          <w:sz w:val="24"/>
          <w:szCs w:val="24"/>
        </w:rPr>
        <w:lastRenderedPageBreak/>
        <w:t>These regions can focus on energy optimization and grid modernization.</w:t>
      </w:r>
    </w:p>
    <w:p w14:paraId="6FB141A3" w14:textId="77777777" w:rsidR="004A4300" w:rsidRPr="004A4300" w:rsidRDefault="004A4300" w:rsidP="004A4300">
      <w:pPr>
        <w:numPr>
          <w:ilvl w:val="0"/>
          <w:numId w:val="14"/>
        </w:numPr>
        <w:rPr>
          <w:rFonts w:ascii="Times New Roman" w:hAnsi="Times New Roman" w:cs="Times New Roman"/>
          <w:sz w:val="24"/>
          <w:szCs w:val="24"/>
        </w:rPr>
      </w:pPr>
      <w:r w:rsidRPr="004A4300">
        <w:rPr>
          <w:rFonts w:ascii="Times New Roman" w:hAnsi="Times New Roman" w:cs="Times New Roman"/>
          <w:sz w:val="24"/>
          <w:szCs w:val="24"/>
        </w:rPr>
        <w:t>Emerging Regions (Africa, Latin America):</w:t>
      </w:r>
    </w:p>
    <w:p w14:paraId="7E300F82" w14:textId="77777777" w:rsidR="004A4300" w:rsidRPr="004A4300" w:rsidRDefault="004A4300" w:rsidP="004A4300">
      <w:pPr>
        <w:numPr>
          <w:ilvl w:val="1"/>
          <w:numId w:val="14"/>
        </w:numPr>
        <w:rPr>
          <w:rFonts w:ascii="Times New Roman" w:hAnsi="Times New Roman" w:cs="Times New Roman"/>
          <w:sz w:val="24"/>
          <w:szCs w:val="24"/>
        </w:rPr>
      </w:pPr>
      <w:r w:rsidRPr="004A4300">
        <w:rPr>
          <w:rFonts w:ascii="Times New Roman" w:hAnsi="Times New Roman" w:cs="Times New Roman"/>
          <w:sz w:val="24"/>
          <w:szCs w:val="24"/>
        </w:rPr>
        <w:t>Focus on energy access and renewable adoption strategies.</w:t>
      </w:r>
    </w:p>
    <w:p w14:paraId="14CFF3D4"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b/>
          <w:bCs/>
          <w:sz w:val="24"/>
          <w:szCs w:val="24"/>
        </w:rPr>
        <w:t>4. Goal Achievement</w:t>
      </w:r>
      <w:r w:rsidRPr="004A4300">
        <w:rPr>
          <w:rFonts w:ascii="Times New Roman" w:hAnsi="Times New Roman" w:cs="Times New Roman"/>
          <w:sz w:val="24"/>
          <w:szCs w:val="24"/>
        </w:rPr>
        <w:t xml:space="preserve">: </w:t>
      </w:r>
      <w:r w:rsidRPr="004A4300">
        <w:rPr>
          <w:rFonts w:ascii="Times New Roman" w:hAnsi="Times New Roman" w:cs="Times New Roman"/>
          <w:b/>
          <w:bCs/>
          <w:sz w:val="24"/>
          <w:szCs w:val="24"/>
        </w:rPr>
        <w:t>Renewable vs Non-Renewable</w:t>
      </w:r>
    </w:p>
    <w:p w14:paraId="08C9BA66" w14:textId="77777777" w:rsidR="004A4300" w:rsidRPr="004A4300" w:rsidRDefault="004A4300" w:rsidP="004A4300">
      <w:pPr>
        <w:rPr>
          <w:rFonts w:ascii="Times New Roman" w:hAnsi="Times New Roman" w:cs="Times New Roman"/>
          <w:b/>
          <w:bCs/>
          <w:sz w:val="24"/>
          <w:szCs w:val="24"/>
        </w:rPr>
      </w:pPr>
      <w:r w:rsidRPr="004A4300">
        <w:rPr>
          <w:rFonts w:ascii="Times New Roman" w:hAnsi="Times New Roman" w:cs="Times New Roman"/>
          <w:b/>
          <w:bCs/>
          <w:sz w:val="24"/>
          <w:szCs w:val="24"/>
        </w:rPr>
        <w:t>Current Split</w:t>
      </w:r>
    </w:p>
    <w:p w14:paraId="3E009F3D" w14:textId="77777777" w:rsidR="004A4300" w:rsidRPr="004A4300" w:rsidRDefault="004A4300" w:rsidP="004A4300">
      <w:pPr>
        <w:numPr>
          <w:ilvl w:val="0"/>
          <w:numId w:val="15"/>
        </w:numPr>
        <w:rPr>
          <w:rFonts w:ascii="Times New Roman" w:hAnsi="Times New Roman" w:cs="Times New Roman"/>
          <w:sz w:val="24"/>
          <w:szCs w:val="24"/>
        </w:rPr>
      </w:pPr>
      <w:r w:rsidRPr="004A4300">
        <w:rPr>
          <w:rFonts w:ascii="Times New Roman" w:hAnsi="Times New Roman" w:cs="Times New Roman"/>
          <w:sz w:val="24"/>
          <w:szCs w:val="24"/>
        </w:rPr>
        <w:t>Coal leads non-renewables with 50.72% share.</w:t>
      </w:r>
    </w:p>
    <w:p w14:paraId="38E9CC3D" w14:textId="77777777" w:rsidR="004A4300" w:rsidRPr="004A4300" w:rsidRDefault="004A4300" w:rsidP="004A4300">
      <w:pPr>
        <w:numPr>
          <w:ilvl w:val="0"/>
          <w:numId w:val="15"/>
        </w:numPr>
        <w:rPr>
          <w:rFonts w:ascii="Times New Roman" w:hAnsi="Times New Roman" w:cs="Times New Roman"/>
          <w:sz w:val="24"/>
          <w:szCs w:val="24"/>
        </w:rPr>
      </w:pPr>
      <w:r w:rsidRPr="004A4300">
        <w:rPr>
          <w:rFonts w:ascii="Times New Roman" w:hAnsi="Times New Roman" w:cs="Times New Roman"/>
          <w:sz w:val="24"/>
          <w:szCs w:val="24"/>
        </w:rPr>
        <w:t>Hydro dominates renewables with 42.95%.</w:t>
      </w:r>
    </w:p>
    <w:p w14:paraId="7C4D1B45" w14:textId="77777777" w:rsidR="004A4300" w:rsidRPr="004A4300" w:rsidRDefault="004A4300" w:rsidP="004A4300">
      <w:pPr>
        <w:numPr>
          <w:ilvl w:val="0"/>
          <w:numId w:val="15"/>
        </w:numPr>
        <w:rPr>
          <w:rFonts w:ascii="Times New Roman" w:hAnsi="Times New Roman" w:cs="Times New Roman"/>
          <w:sz w:val="24"/>
          <w:szCs w:val="24"/>
        </w:rPr>
      </w:pPr>
      <w:r w:rsidRPr="004A4300">
        <w:rPr>
          <w:rFonts w:ascii="Times New Roman" w:hAnsi="Times New Roman" w:cs="Times New Roman"/>
          <w:sz w:val="24"/>
          <w:szCs w:val="24"/>
        </w:rPr>
        <w:t>Overall, renewables are growing, but non-renewables still form a majority of global energy mix.</w:t>
      </w:r>
    </w:p>
    <w:p w14:paraId="351C2179" w14:textId="77777777" w:rsidR="004A4300" w:rsidRPr="004A4300" w:rsidRDefault="004A4300" w:rsidP="004A4300">
      <w:pPr>
        <w:rPr>
          <w:rFonts w:ascii="Times New Roman" w:hAnsi="Times New Roman" w:cs="Times New Roman"/>
          <w:bCs/>
          <w:sz w:val="24"/>
          <w:szCs w:val="24"/>
        </w:rPr>
      </w:pPr>
      <w:r w:rsidRPr="004A4300">
        <w:rPr>
          <w:rFonts w:ascii="Times New Roman" w:hAnsi="Times New Roman" w:cs="Times New Roman"/>
          <w:bCs/>
          <w:sz w:val="24"/>
          <w:szCs w:val="24"/>
        </w:rPr>
        <w:t>Actionable KPIs</w:t>
      </w:r>
    </w:p>
    <w:p w14:paraId="133CFF18" w14:textId="77777777" w:rsidR="004A4300" w:rsidRPr="004A4300" w:rsidRDefault="004A4300" w:rsidP="004A4300">
      <w:pPr>
        <w:numPr>
          <w:ilvl w:val="0"/>
          <w:numId w:val="16"/>
        </w:numPr>
        <w:rPr>
          <w:rFonts w:ascii="Times New Roman" w:hAnsi="Times New Roman" w:cs="Times New Roman"/>
          <w:bCs/>
          <w:sz w:val="24"/>
          <w:szCs w:val="24"/>
        </w:rPr>
      </w:pPr>
      <w:r w:rsidRPr="004A4300">
        <w:rPr>
          <w:rFonts w:ascii="Times New Roman" w:hAnsi="Times New Roman" w:cs="Times New Roman"/>
          <w:bCs/>
          <w:sz w:val="24"/>
          <w:szCs w:val="24"/>
        </w:rPr>
        <w:t xml:space="preserve">Countries aiming for </w:t>
      </w:r>
      <w:r w:rsidRPr="004A4300">
        <w:rPr>
          <w:rFonts w:ascii="Times New Roman" w:hAnsi="Times New Roman" w:cs="Times New Roman"/>
          <w:b/>
          <w:bCs/>
          <w:sz w:val="24"/>
          <w:szCs w:val="24"/>
        </w:rPr>
        <w:t>net-zero emissions</w:t>
      </w:r>
      <w:r w:rsidRPr="004A4300">
        <w:rPr>
          <w:rFonts w:ascii="Times New Roman" w:hAnsi="Times New Roman" w:cs="Times New Roman"/>
          <w:bCs/>
          <w:sz w:val="24"/>
          <w:szCs w:val="24"/>
        </w:rPr>
        <w:t xml:space="preserve"> must focus on:</w:t>
      </w:r>
    </w:p>
    <w:p w14:paraId="2612F0EB" w14:textId="77777777" w:rsidR="004A4300" w:rsidRPr="004A4300" w:rsidRDefault="004A4300" w:rsidP="004A4300">
      <w:pPr>
        <w:numPr>
          <w:ilvl w:val="1"/>
          <w:numId w:val="16"/>
        </w:numPr>
        <w:rPr>
          <w:rFonts w:ascii="Times New Roman" w:hAnsi="Times New Roman" w:cs="Times New Roman"/>
          <w:bCs/>
          <w:sz w:val="24"/>
          <w:szCs w:val="24"/>
        </w:rPr>
      </w:pPr>
      <w:r w:rsidRPr="004A4300">
        <w:rPr>
          <w:rFonts w:ascii="Times New Roman" w:hAnsi="Times New Roman" w:cs="Times New Roman"/>
          <w:b/>
          <w:bCs/>
          <w:sz w:val="24"/>
          <w:szCs w:val="24"/>
        </w:rPr>
        <w:t>Reducing coal and oil</w:t>
      </w:r>
      <w:r w:rsidRPr="004A4300">
        <w:rPr>
          <w:rFonts w:ascii="Times New Roman" w:hAnsi="Times New Roman" w:cs="Times New Roman"/>
          <w:bCs/>
          <w:sz w:val="24"/>
          <w:szCs w:val="24"/>
        </w:rPr>
        <w:t xml:space="preserve"> dependency.</w:t>
      </w:r>
    </w:p>
    <w:p w14:paraId="3FB13FDD" w14:textId="77777777" w:rsidR="004A4300" w:rsidRPr="004A4300" w:rsidRDefault="004A4300" w:rsidP="004A4300">
      <w:pPr>
        <w:numPr>
          <w:ilvl w:val="1"/>
          <w:numId w:val="16"/>
        </w:numPr>
        <w:rPr>
          <w:rFonts w:ascii="Times New Roman" w:hAnsi="Times New Roman" w:cs="Times New Roman"/>
          <w:bCs/>
          <w:sz w:val="24"/>
          <w:szCs w:val="24"/>
        </w:rPr>
      </w:pPr>
      <w:r w:rsidRPr="004A4300">
        <w:rPr>
          <w:rFonts w:ascii="Times New Roman" w:hAnsi="Times New Roman" w:cs="Times New Roman"/>
          <w:b/>
          <w:bCs/>
          <w:sz w:val="24"/>
          <w:szCs w:val="24"/>
        </w:rPr>
        <w:t>Boosting wind, solar, and geothermal</w:t>
      </w:r>
      <w:r w:rsidRPr="004A4300">
        <w:rPr>
          <w:rFonts w:ascii="Times New Roman" w:hAnsi="Times New Roman" w:cs="Times New Roman"/>
          <w:bCs/>
          <w:sz w:val="24"/>
          <w:szCs w:val="24"/>
        </w:rPr>
        <w:t xml:space="preserve"> development.</w:t>
      </w:r>
    </w:p>
    <w:p w14:paraId="0DEBC89F" w14:textId="77777777" w:rsidR="004A4300" w:rsidRPr="004A4300" w:rsidRDefault="004A4300" w:rsidP="004A4300">
      <w:pPr>
        <w:rPr>
          <w:rFonts w:ascii="Times New Roman" w:hAnsi="Times New Roman" w:cs="Times New Roman"/>
          <w:b/>
          <w:bCs/>
          <w:sz w:val="24"/>
          <w:szCs w:val="24"/>
        </w:rPr>
      </w:pPr>
      <w:r w:rsidRPr="004A4300">
        <w:rPr>
          <w:rFonts w:ascii="Times New Roman" w:hAnsi="Times New Roman" w:cs="Times New Roman"/>
          <w:b/>
          <w:bCs/>
          <w:sz w:val="24"/>
          <w:szCs w:val="24"/>
        </w:rPr>
        <w:t>Key Insights:</w:t>
      </w:r>
    </w:p>
    <w:tbl>
      <w:tblPr>
        <w:tblW w:w="8799"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1"/>
        <w:gridCol w:w="5658"/>
      </w:tblGrid>
      <w:tr w:rsidR="004A4300" w:rsidRPr="004A4300" w14:paraId="4BB82124" w14:textId="77777777" w:rsidTr="004A4300">
        <w:trPr>
          <w:trHeight w:val="362"/>
          <w:tblHeader/>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7C2C3E" w14:textId="77777777" w:rsidR="004A4300" w:rsidRPr="004A4300" w:rsidRDefault="004A4300" w:rsidP="004A4300">
            <w:pPr>
              <w:rPr>
                <w:rFonts w:ascii="Times New Roman" w:hAnsi="Times New Roman" w:cs="Times New Roman"/>
                <w:b/>
                <w:bCs/>
                <w:sz w:val="24"/>
                <w:szCs w:val="24"/>
              </w:rPr>
            </w:pPr>
            <w:r w:rsidRPr="004A4300">
              <w:rPr>
                <w:rFonts w:ascii="Times New Roman" w:hAnsi="Times New Roman" w:cs="Times New Roman"/>
                <w:b/>
                <w:bCs/>
                <w:sz w:val="24"/>
                <w:szCs w:val="24"/>
              </w:rPr>
              <w:t>Observation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BA0E02" w14:textId="77777777" w:rsidR="004A4300" w:rsidRPr="004A4300" w:rsidRDefault="004A4300" w:rsidP="004A4300">
            <w:pPr>
              <w:rPr>
                <w:rFonts w:ascii="Times New Roman" w:hAnsi="Times New Roman" w:cs="Times New Roman"/>
                <w:b/>
                <w:bCs/>
                <w:sz w:val="24"/>
                <w:szCs w:val="24"/>
              </w:rPr>
            </w:pPr>
            <w:r w:rsidRPr="004A4300">
              <w:rPr>
                <w:rFonts w:ascii="Times New Roman" w:hAnsi="Times New Roman" w:cs="Times New Roman"/>
                <w:b/>
                <w:bCs/>
                <w:sz w:val="24"/>
                <w:szCs w:val="24"/>
              </w:rPr>
              <w:t>Insight</w:t>
            </w:r>
          </w:p>
        </w:tc>
      </w:tr>
      <w:tr w:rsidR="004A4300" w:rsidRPr="004A4300" w14:paraId="4080084B" w14:textId="77777777" w:rsidTr="004A4300">
        <w:trPr>
          <w:trHeight w:val="34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1DC47AE"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Top Consumer</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AB6C3BE"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China (Rapid rise post-2005)</w:t>
            </w:r>
          </w:p>
        </w:tc>
      </w:tr>
      <w:tr w:rsidR="004A4300" w:rsidRPr="004A4300" w14:paraId="50FD5A14" w14:textId="77777777" w:rsidTr="004A4300">
        <w:trPr>
          <w:trHeight w:val="36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ACB0EE6"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Top Continent</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B074561"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Asia</w:t>
            </w:r>
          </w:p>
        </w:tc>
      </w:tr>
      <w:tr w:rsidR="004A4300" w:rsidRPr="004A4300" w14:paraId="11DB69A2" w14:textId="77777777" w:rsidTr="004A4300">
        <w:trPr>
          <w:trHeight w:val="36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27581D1"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Top Renewable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101EC85"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Hydro (42.95% of total renewable mix)</w:t>
            </w:r>
          </w:p>
        </w:tc>
      </w:tr>
      <w:tr w:rsidR="004A4300" w:rsidRPr="004A4300" w14:paraId="6C27289A" w14:textId="77777777" w:rsidTr="004A4300">
        <w:trPr>
          <w:trHeight w:val="34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97031FC"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Top Non-Renewable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503A6AFC"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Coal (50.72%)</w:t>
            </w:r>
          </w:p>
        </w:tc>
      </w:tr>
      <w:tr w:rsidR="004A4300" w:rsidRPr="004A4300" w14:paraId="1BBC9959" w14:textId="77777777" w:rsidTr="004A4300">
        <w:trPr>
          <w:trHeight w:val="36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54D7ABB"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Emerging Renewable</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86A293A"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Tidal energy gaining share</w:t>
            </w:r>
          </w:p>
        </w:tc>
      </w:tr>
      <w:tr w:rsidR="004A4300" w:rsidRPr="004A4300" w14:paraId="612DB347" w14:textId="77777777" w:rsidTr="004A4300">
        <w:trPr>
          <w:trHeight w:val="36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D53A7CD"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African Leaders</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D592D59"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South Africa, Egypt</w:t>
            </w:r>
          </w:p>
        </w:tc>
      </w:tr>
      <w:tr w:rsidR="004A4300" w:rsidRPr="004A4300" w14:paraId="1A4DC54F" w14:textId="77777777" w:rsidTr="004A4300">
        <w:trPr>
          <w:trHeight w:val="347"/>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143A60D"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BRICS Growth</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4612D9"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High, driven by China &amp; India</w:t>
            </w:r>
          </w:p>
        </w:tc>
      </w:tr>
      <w:tr w:rsidR="004A4300" w:rsidRPr="004A4300" w14:paraId="78894740" w14:textId="77777777" w:rsidTr="004A4300">
        <w:trPr>
          <w:trHeight w:val="362"/>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4971D33"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OECD Consumption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447FB88" w14:textId="77777777" w:rsidR="004A4300" w:rsidRPr="004A4300" w:rsidRDefault="004A4300" w:rsidP="004A4300">
            <w:pPr>
              <w:rPr>
                <w:rFonts w:ascii="Times New Roman" w:hAnsi="Times New Roman" w:cs="Times New Roman"/>
                <w:sz w:val="24"/>
                <w:szCs w:val="24"/>
              </w:rPr>
            </w:pPr>
            <w:r w:rsidRPr="004A4300">
              <w:rPr>
                <w:rFonts w:ascii="Times New Roman" w:hAnsi="Times New Roman" w:cs="Times New Roman"/>
                <w:sz w:val="24"/>
                <w:szCs w:val="24"/>
              </w:rPr>
              <w:t>Still the highest among groups</w:t>
            </w:r>
          </w:p>
        </w:tc>
      </w:tr>
    </w:tbl>
    <w:p w14:paraId="457F60F4" w14:textId="77777777" w:rsidR="004A4300" w:rsidRPr="004A4300" w:rsidRDefault="004A4300" w:rsidP="004A4300">
      <w:pPr>
        <w:rPr>
          <w:rFonts w:ascii="Times New Roman" w:hAnsi="Times New Roman" w:cs="Times New Roman"/>
          <w:b/>
          <w:bCs/>
          <w:sz w:val="24"/>
          <w:szCs w:val="24"/>
        </w:rPr>
      </w:pPr>
      <w:r w:rsidRPr="004A4300">
        <w:rPr>
          <w:rFonts w:ascii="Times New Roman" w:hAnsi="Times New Roman" w:cs="Times New Roman"/>
          <w:b/>
          <w:bCs/>
          <w:sz w:val="24"/>
          <w:szCs w:val="24"/>
        </w:rPr>
        <w:t>Recommendations for Decision Makers:</w:t>
      </w:r>
    </w:p>
    <w:p w14:paraId="42B75079" w14:textId="77777777" w:rsidR="004A4300" w:rsidRPr="004A4300" w:rsidRDefault="004A4300" w:rsidP="004A4300">
      <w:pPr>
        <w:numPr>
          <w:ilvl w:val="0"/>
          <w:numId w:val="17"/>
        </w:numPr>
        <w:rPr>
          <w:rFonts w:ascii="Times New Roman" w:hAnsi="Times New Roman" w:cs="Times New Roman"/>
          <w:sz w:val="24"/>
          <w:szCs w:val="24"/>
        </w:rPr>
      </w:pPr>
      <w:r w:rsidRPr="004A4300">
        <w:rPr>
          <w:rFonts w:ascii="Times New Roman" w:hAnsi="Times New Roman" w:cs="Times New Roman"/>
          <w:b/>
          <w:bCs/>
          <w:sz w:val="24"/>
          <w:szCs w:val="24"/>
        </w:rPr>
        <w:t>Policy Shift</w:t>
      </w:r>
      <w:r w:rsidRPr="004A4300">
        <w:rPr>
          <w:rFonts w:ascii="Times New Roman" w:hAnsi="Times New Roman" w:cs="Times New Roman"/>
          <w:sz w:val="24"/>
          <w:szCs w:val="24"/>
        </w:rPr>
        <w:t>: Encourage hydro and tidal investment based on current momentum.</w:t>
      </w:r>
    </w:p>
    <w:p w14:paraId="0D971803" w14:textId="77777777" w:rsidR="004A4300" w:rsidRPr="004A4300" w:rsidRDefault="004A4300" w:rsidP="004A4300">
      <w:pPr>
        <w:numPr>
          <w:ilvl w:val="0"/>
          <w:numId w:val="17"/>
        </w:numPr>
        <w:rPr>
          <w:rFonts w:ascii="Times New Roman" w:hAnsi="Times New Roman" w:cs="Times New Roman"/>
          <w:sz w:val="24"/>
          <w:szCs w:val="24"/>
        </w:rPr>
      </w:pPr>
      <w:r w:rsidRPr="004A4300">
        <w:rPr>
          <w:rFonts w:ascii="Times New Roman" w:hAnsi="Times New Roman" w:cs="Times New Roman"/>
          <w:b/>
          <w:bCs/>
          <w:sz w:val="24"/>
          <w:szCs w:val="24"/>
        </w:rPr>
        <w:t>Tech Upgradation</w:t>
      </w:r>
      <w:r w:rsidRPr="004A4300">
        <w:rPr>
          <w:rFonts w:ascii="Times New Roman" w:hAnsi="Times New Roman" w:cs="Times New Roman"/>
          <w:sz w:val="24"/>
          <w:szCs w:val="24"/>
        </w:rPr>
        <w:t>: Countries like India and Brazil should invest in grid-scale battery storage for renewable stability.</w:t>
      </w:r>
    </w:p>
    <w:p w14:paraId="7880EDB3" w14:textId="77777777" w:rsidR="004A4300" w:rsidRPr="004A4300" w:rsidRDefault="004A4300" w:rsidP="004A4300">
      <w:pPr>
        <w:numPr>
          <w:ilvl w:val="0"/>
          <w:numId w:val="17"/>
        </w:numPr>
        <w:rPr>
          <w:rFonts w:ascii="Times New Roman" w:hAnsi="Times New Roman" w:cs="Times New Roman"/>
          <w:sz w:val="24"/>
          <w:szCs w:val="24"/>
        </w:rPr>
      </w:pPr>
      <w:r w:rsidRPr="004A4300">
        <w:rPr>
          <w:rFonts w:ascii="Times New Roman" w:hAnsi="Times New Roman" w:cs="Times New Roman"/>
          <w:b/>
          <w:bCs/>
          <w:sz w:val="24"/>
          <w:szCs w:val="24"/>
        </w:rPr>
        <w:t>Africa Focus</w:t>
      </w:r>
      <w:r w:rsidRPr="004A4300">
        <w:rPr>
          <w:rFonts w:ascii="Times New Roman" w:hAnsi="Times New Roman" w:cs="Times New Roman"/>
          <w:sz w:val="24"/>
          <w:szCs w:val="24"/>
        </w:rPr>
        <w:t>: Provide international support for renewable infrastructure expansion in low-consuming African nations.</w:t>
      </w:r>
    </w:p>
    <w:p w14:paraId="052BD83A" w14:textId="77777777" w:rsidR="004A4300" w:rsidRPr="004A4300" w:rsidRDefault="004A4300" w:rsidP="004A4300">
      <w:pPr>
        <w:numPr>
          <w:ilvl w:val="0"/>
          <w:numId w:val="17"/>
        </w:numPr>
        <w:rPr>
          <w:rFonts w:ascii="Times New Roman" w:hAnsi="Times New Roman" w:cs="Times New Roman"/>
          <w:sz w:val="24"/>
          <w:szCs w:val="24"/>
        </w:rPr>
      </w:pPr>
      <w:r w:rsidRPr="004A4300">
        <w:rPr>
          <w:rFonts w:ascii="Times New Roman" w:hAnsi="Times New Roman" w:cs="Times New Roman"/>
          <w:b/>
          <w:bCs/>
          <w:sz w:val="24"/>
          <w:szCs w:val="24"/>
        </w:rPr>
        <w:lastRenderedPageBreak/>
        <w:t>Coal Phase-Out</w:t>
      </w:r>
      <w:r w:rsidRPr="004A4300">
        <w:rPr>
          <w:rFonts w:ascii="Times New Roman" w:hAnsi="Times New Roman" w:cs="Times New Roman"/>
          <w:sz w:val="24"/>
          <w:szCs w:val="24"/>
        </w:rPr>
        <w:t>: OECD countries must accelerate coal retirement programs and fund cleaner alternatives.</w:t>
      </w:r>
    </w:p>
    <w:p w14:paraId="7E12E7A2" w14:textId="77777777" w:rsidR="004A4300" w:rsidRPr="004A4300" w:rsidRDefault="004A4300" w:rsidP="004A4300">
      <w:pPr>
        <w:rPr>
          <w:b/>
          <w:bCs/>
        </w:rPr>
      </w:pPr>
    </w:p>
    <w:p w14:paraId="364D2564" w14:textId="77777777" w:rsidR="004A4300" w:rsidRPr="004A4300" w:rsidRDefault="004A4300" w:rsidP="004A4300"/>
    <w:p w14:paraId="45855261" w14:textId="77777777" w:rsidR="00720545" w:rsidRDefault="00000000">
      <w:r>
        <w:t xml:space="preserve"> </w:t>
      </w:r>
    </w:p>
    <w:sectPr w:rsidR="00720545">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47298"/>
    <w:multiLevelType w:val="multilevel"/>
    <w:tmpl w:val="060E85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2226F"/>
    <w:multiLevelType w:val="multilevel"/>
    <w:tmpl w:val="55F62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DA618C"/>
    <w:multiLevelType w:val="hybridMultilevel"/>
    <w:tmpl w:val="FB60222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8" w15:restartNumberingAfterBreak="0">
    <w:nsid w:val="3C177BEA"/>
    <w:multiLevelType w:val="multilevel"/>
    <w:tmpl w:val="4940B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8C7B5A"/>
    <w:multiLevelType w:val="multilevel"/>
    <w:tmpl w:val="137A8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1E3CD5"/>
    <w:multiLevelType w:val="multilevel"/>
    <w:tmpl w:val="E9CA7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A3FD9"/>
    <w:multiLevelType w:val="multilevel"/>
    <w:tmpl w:val="4EA8F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507306"/>
    <w:multiLevelType w:val="hybridMultilevel"/>
    <w:tmpl w:val="D5D296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6"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568502">
    <w:abstractNumId w:val="14"/>
  </w:num>
  <w:num w:numId="2" w16cid:durableId="1645432796">
    <w:abstractNumId w:val="10"/>
  </w:num>
  <w:num w:numId="3" w16cid:durableId="275448970">
    <w:abstractNumId w:val="4"/>
  </w:num>
  <w:num w:numId="4" w16cid:durableId="1463424373">
    <w:abstractNumId w:val="1"/>
  </w:num>
  <w:num w:numId="5" w16cid:durableId="1771975069">
    <w:abstractNumId w:val="5"/>
  </w:num>
  <w:num w:numId="6" w16cid:durableId="542443052">
    <w:abstractNumId w:val="2"/>
  </w:num>
  <w:num w:numId="7" w16cid:durableId="1289777035">
    <w:abstractNumId w:val="12"/>
  </w:num>
  <w:num w:numId="8" w16cid:durableId="674189717">
    <w:abstractNumId w:val="16"/>
  </w:num>
  <w:num w:numId="9" w16cid:durableId="1101997984">
    <w:abstractNumId w:val="0"/>
  </w:num>
  <w:num w:numId="10" w16cid:durableId="805973886">
    <w:abstractNumId w:val="7"/>
  </w:num>
  <w:num w:numId="11" w16cid:durableId="1898974671">
    <w:abstractNumId w:val="6"/>
  </w:num>
  <w:num w:numId="12" w16cid:durableId="873924391">
    <w:abstractNumId w:val="11"/>
  </w:num>
  <w:num w:numId="13" w16cid:durableId="707141413">
    <w:abstractNumId w:val="9"/>
  </w:num>
  <w:num w:numId="14" w16cid:durableId="87045148">
    <w:abstractNumId w:val="13"/>
  </w:num>
  <w:num w:numId="15" w16cid:durableId="189876801">
    <w:abstractNumId w:val="3"/>
  </w:num>
  <w:num w:numId="16" w16cid:durableId="1141925857">
    <w:abstractNumId w:val="8"/>
  </w:num>
  <w:num w:numId="17" w16cid:durableId="109609808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224306"/>
    <w:rsid w:val="004A4300"/>
    <w:rsid w:val="00642171"/>
    <w:rsid w:val="00720545"/>
    <w:rsid w:val="00862DA1"/>
    <w:rsid w:val="008E4386"/>
    <w:rsid w:val="009C3F64"/>
    <w:rsid w:val="00A136B3"/>
    <w:rsid w:val="00A20696"/>
    <w:rsid w:val="00AF7735"/>
    <w:rsid w:val="00D043A9"/>
    <w:rsid w:val="00F10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81C7"/>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48268732">
      <w:bodyDiv w:val="1"/>
      <w:marLeft w:val="0"/>
      <w:marRight w:val="0"/>
      <w:marTop w:val="0"/>
      <w:marBottom w:val="0"/>
      <w:divBdr>
        <w:top w:val="none" w:sz="0" w:space="0" w:color="auto"/>
        <w:left w:val="none" w:sz="0" w:space="0" w:color="auto"/>
        <w:bottom w:val="none" w:sz="0" w:space="0" w:color="auto"/>
        <w:right w:val="none" w:sz="0" w:space="0" w:color="auto"/>
      </w:divBdr>
    </w:div>
    <w:div w:id="276908935">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43358458">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454368875">
      <w:bodyDiv w:val="1"/>
      <w:marLeft w:val="0"/>
      <w:marRight w:val="0"/>
      <w:marTop w:val="0"/>
      <w:marBottom w:val="0"/>
      <w:divBdr>
        <w:top w:val="none" w:sz="0" w:space="0" w:color="auto"/>
        <w:left w:val="none" w:sz="0" w:space="0" w:color="auto"/>
        <w:bottom w:val="none" w:sz="0" w:space="0" w:color="auto"/>
        <w:right w:val="none" w:sz="0" w:space="0" w:color="auto"/>
      </w:divBdr>
    </w:div>
    <w:div w:id="537400473">
      <w:bodyDiv w:val="1"/>
      <w:marLeft w:val="0"/>
      <w:marRight w:val="0"/>
      <w:marTop w:val="0"/>
      <w:marBottom w:val="0"/>
      <w:divBdr>
        <w:top w:val="none" w:sz="0" w:space="0" w:color="auto"/>
        <w:left w:val="none" w:sz="0" w:space="0" w:color="auto"/>
        <w:bottom w:val="none" w:sz="0" w:space="0" w:color="auto"/>
        <w:right w:val="none" w:sz="0" w:space="0" w:color="auto"/>
      </w:divBdr>
    </w:div>
    <w:div w:id="729159870">
      <w:bodyDiv w:val="1"/>
      <w:marLeft w:val="0"/>
      <w:marRight w:val="0"/>
      <w:marTop w:val="0"/>
      <w:marBottom w:val="0"/>
      <w:divBdr>
        <w:top w:val="none" w:sz="0" w:space="0" w:color="auto"/>
        <w:left w:val="none" w:sz="0" w:space="0" w:color="auto"/>
        <w:bottom w:val="none" w:sz="0" w:space="0" w:color="auto"/>
        <w:right w:val="none" w:sz="0" w:space="0" w:color="auto"/>
      </w:divBdr>
    </w:div>
    <w:div w:id="779422629">
      <w:bodyDiv w:val="1"/>
      <w:marLeft w:val="0"/>
      <w:marRight w:val="0"/>
      <w:marTop w:val="0"/>
      <w:marBottom w:val="0"/>
      <w:divBdr>
        <w:top w:val="none" w:sz="0" w:space="0" w:color="auto"/>
        <w:left w:val="none" w:sz="0" w:space="0" w:color="auto"/>
        <w:bottom w:val="none" w:sz="0" w:space="0" w:color="auto"/>
        <w:right w:val="none" w:sz="0" w:space="0" w:color="auto"/>
      </w:divBdr>
    </w:div>
    <w:div w:id="832718132">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237400451">
      <w:bodyDiv w:val="1"/>
      <w:marLeft w:val="0"/>
      <w:marRight w:val="0"/>
      <w:marTop w:val="0"/>
      <w:marBottom w:val="0"/>
      <w:divBdr>
        <w:top w:val="none" w:sz="0" w:space="0" w:color="auto"/>
        <w:left w:val="none" w:sz="0" w:space="0" w:color="auto"/>
        <w:bottom w:val="none" w:sz="0" w:space="0" w:color="auto"/>
        <w:right w:val="none" w:sz="0" w:space="0" w:color="auto"/>
      </w:divBdr>
    </w:div>
    <w:div w:id="1271279162">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3518347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478717747">
      <w:bodyDiv w:val="1"/>
      <w:marLeft w:val="0"/>
      <w:marRight w:val="0"/>
      <w:marTop w:val="0"/>
      <w:marBottom w:val="0"/>
      <w:divBdr>
        <w:top w:val="none" w:sz="0" w:space="0" w:color="auto"/>
        <w:left w:val="none" w:sz="0" w:space="0" w:color="auto"/>
        <w:bottom w:val="none" w:sz="0" w:space="0" w:color="auto"/>
        <w:right w:val="none" w:sz="0" w:space="0" w:color="auto"/>
      </w:divBdr>
    </w:div>
    <w:div w:id="1541046106">
      <w:bodyDiv w:val="1"/>
      <w:marLeft w:val="0"/>
      <w:marRight w:val="0"/>
      <w:marTop w:val="0"/>
      <w:marBottom w:val="0"/>
      <w:divBdr>
        <w:top w:val="none" w:sz="0" w:space="0" w:color="auto"/>
        <w:left w:val="none" w:sz="0" w:space="0" w:color="auto"/>
        <w:bottom w:val="none" w:sz="0" w:space="0" w:color="auto"/>
        <w:right w:val="none" w:sz="0" w:space="0" w:color="auto"/>
      </w:divBdr>
    </w:div>
    <w:div w:id="1558937233">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790857159">
      <w:bodyDiv w:val="1"/>
      <w:marLeft w:val="0"/>
      <w:marRight w:val="0"/>
      <w:marTop w:val="0"/>
      <w:marBottom w:val="0"/>
      <w:divBdr>
        <w:top w:val="none" w:sz="0" w:space="0" w:color="auto"/>
        <w:left w:val="none" w:sz="0" w:space="0" w:color="auto"/>
        <w:bottom w:val="none" w:sz="0" w:space="0" w:color="auto"/>
        <w:right w:val="none" w:sz="0" w:space="0" w:color="auto"/>
      </w:divBdr>
    </w:div>
    <w:div w:id="1804153953">
      <w:bodyDiv w:val="1"/>
      <w:marLeft w:val="0"/>
      <w:marRight w:val="0"/>
      <w:marTop w:val="0"/>
      <w:marBottom w:val="0"/>
      <w:divBdr>
        <w:top w:val="none" w:sz="0" w:space="0" w:color="auto"/>
        <w:left w:val="none" w:sz="0" w:space="0" w:color="auto"/>
        <w:bottom w:val="none" w:sz="0" w:space="0" w:color="auto"/>
        <w:right w:val="none" w:sz="0" w:space="0" w:color="auto"/>
      </w:divBdr>
    </w:div>
    <w:div w:id="1860586753">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127289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Anjali Allagadapa</cp:lastModifiedBy>
  <cp:revision>3</cp:revision>
  <dcterms:created xsi:type="dcterms:W3CDTF">2025-06-26T09:03:00Z</dcterms:created>
  <dcterms:modified xsi:type="dcterms:W3CDTF">2025-06-26T09:35:00Z</dcterms:modified>
</cp:coreProperties>
</file>