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Creative Strategist Brief: 3 Day Maasai Mara Road Safari</w:t>
      </w:r>
    </w:p>
    <w:p>
      <w:r>
        <w:t xml:space="preserve">Brand: Ashford Tours &amp; Travel Ltd</w:t>
      </w:r>
    </w:p>
    <w:p>
      <w:r>
        <w:t xml:space="preserve">Product example: 3 Days / 2 Nights Maasai Mara Road Safari</w:t>
      </w:r>
    </w:p>
    <w:p>
      <w:r>
        <w:t xml:space="preserve">Initial monthly media budget assumption: KSh 40,000. If the intended currency is USD, the budget and scale rules should be rebuilt.</w:t>
      </w:r>
    </w:p>
    <w:p>
      <w:pPr>
        <w:pStyle w:val="Heading1"/>
      </w:pPr>
      <w:r>
        <w:t xml:space="preserve">Chosen Avatar</w:t>
      </w:r>
    </w:p>
    <w:p>
      <w:pPr>
        <w:pStyle w:val="Heading2"/>
      </w:pPr>
      <w:r>
        <w:t xml:space="preserve">The Premium Nairobi Escape Planner</w:t>
      </w:r>
    </w:p>
    <w:p>
      <w:r>
        <w:t xml:space="preserve">This is a Nairobi-based professional, founder, senior employee, business owner, or upper-middle-class family/couple planner who wants a real Maasai Mara safari but does not want a chaotic, cheap, or uncertain experience.</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2600" w:type="dxa"/>
          </w:tcPr>
          <w:p>
            <w:r>
              <w:t xml:space="preserve">Dimension</w:t>
            </w:r>
          </w:p>
        </w:tc>
        <w:tc>
          <w:tcPr>
            <w:tcW w:w="2600" w:type="dxa"/>
          </w:tcPr>
          <w:p>
            <w:r>
              <w:t xml:space="preserve">Profile</w:t>
            </w:r>
          </w:p>
        </w:tc>
      </w:tr>
      <w:tr>
        <w:tc>
          <w:tcPr>
            <w:tcW w:w="2600" w:type="dxa"/>
          </w:tcPr>
          <w:p>
            <w:r>
              <w:t xml:space="preserve">Age</w:t>
            </w:r>
          </w:p>
        </w:tc>
        <w:tc>
          <w:tcPr>
            <w:tcW w:w="2600" w:type="dxa"/>
          </w:tcPr>
          <w:p>
            <w:r>
              <w:t xml:space="preserve">30-50 primary; 25-55 expanded</w:t>
            </w:r>
          </w:p>
        </w:tc>
      </w:tr>
      <w:tr>
        <w:tc>
          <w:tcPr>
            <w:tcW w:w="2600" w:type="dxa"/>
          </w:tcPr>
          <w:p>
            <w:r>
              <w:t xml:space="preserve">Location</w:t>
            </w:r>
          </w:p>
        </w:tc>
        <w:tc>
          <w:tcPr>
            <w:tcW w:w="2600" w:type="dxa"/>
          </w:tcPr>
          <w:p>
            <w:r>
              <w:t xml:space="preserve">Nairobi, Kiambu, Kajiado, Machakos, Nakuru, Mombasa residents planning premium local travel</w:t>
            </w:r>
          </w:p>
        </w:tc>
      </w:tr>
      <w:tr>
        <w:tc>
          <w:tcPr>
            <w:tcW w:w="2600" w:type="dxa"/>
          </w:tcPr>
          <w:p>
            <w:r>
              <w:t xml:space="preserve">Buying role</w:t>
            </w:r>
          </w:p>
        </w:tc>
        <w:tc>
          <w:tcPr>
            <w:tcW w:w="2600" w:type="dxa"/>
          </w:tcPr>
          <w:p>
            <w:r>
              <w:t xml:space="preserve">Partner planning a couple trip, parent planning a family trip, friend-group organizer, or senior professional organizing a private escape</w:t>
            </w:r>
          </w:p>
        </w:tc>
      </w:tr>
      <w:tr>
        <w:tc>
          <w:tcPr>
            <w:tcW w:w="2600" w:type="dxa"/>
          </w:tcPr>
          <w:p>
            <w:r>
              <w:t xml:space="preserve">Beliefs</w:t>
            </w:r>
          </w:p>
        </w:tc>
        <w:tc>
          <w:tcPr>
            <w:tcW w:w="2600" w:type="dxa"/>
          </w:tcPr>
          <w:p>
            <w:r>
              <w:t xml:space="preserve">Travel should feel worth the money. Kenya is worth rediscovering. A good safari needs planning, comfort, a reliable guide, and transparent inclusions. Cheap travel often becomes stressful.</w:t>
            </w:r>
          </w:p>
        </w:tc>
      </w:tr>
      <w:tr>
        <w:tc>
          <w:tcPr>
            <w:tcW w:w="2600" w:type="dxa"/>
          </w:tcPr>
          <w:p>
            <w:r>
              <w:t xml:space="preserve">Psychological trigger</w:t>
            </w:r>
          </w:p>
        </w:tc>
        <w:tc>
          <w:tcPr>
            <w:tcW w:w="2600" w:type="dxa"/>
          </w:tcPr>
          <w:p>
            <w:r>
              <w:t xml:space="preserve">I want the Mara story without planning stress, hidden costs, or embarrassing logistics.</w:t>
            </w:r>
          </w:p>
        </w:tc>
      </w:tr>
      <w:tr>
        <w:tc>
          <w:tcPr>
            <w:tcW w:w="2600" w:type="dxa"/>
          </w:tcPr>
          <w:p>
            <w:r>
              <w:t xml:space="preserve">Primary channels</w:t>
            </w:r>
          </w:p>
        </w:tc>
        <w:tc>
          <w:tcPr>
            <w:tcW w:w="2600" w:type="dxa"/>
          </w:tcPr>
          <w:p>
            <w:r>
              <w:t xml:space="preserve">Instagram, Facebook, WhatsApp, Google Search, referrals. TikTok can feed awareness, but WhatsApp closes.</w:t>
            </w:r>
          </w:p>
        </w:tc>
      </w:tr>
    </w:tbl>
    <w:p>
      <w:pPr>
        <w:pStyle w:val="Heading1"/>
      </w:pPr>
      <w:r>
        <w:t xml:space="preserve">Campaign Strategy</w:t>
      </w:r>
    </w:p>
    <w:p>
      <w:r>
        <w:t xml:space="preserve">Campaign promise: A proper Maasai Mara escape, planned by people who know the route, the lodges, the vehicles, and the details.</w:t>
      </w:r>
    </w:p>
    <w:p>
      <w:r>
        <w:t xml:space="preserve">Positioning: not the cheapest Mara trip; the safer, clearer, better-planned 3-day safari for Kenyans who want the experience handled properly.</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2600" w:type="dxa"/>
          </w:tcPr>
          <w:p>
            <w:r>
              <w:t xml:space="preserve">Angle Type</w:t>
            </w:r>
          </w:p>
        </w:tc>
        <w:tc>
          <w:tcPr>
            <w:tcW w:w="2600" w:type="dxa"/>
          </w:tcPr>
          <w:p>
            <w:r>
              <w:t xml:space="preserve">Ad Angle</w:t>
            </w:r>
          </w:p>
        </w:tc>
        <w:tc>
          <w:tcPr>
            <w:tcW w:w="2600" w:type="dxa"/>
          </w:tcPr>
          <w:p>
            <w:r>
              <w:t xml:space="preserve">Core Message</w:t>
            </w:r>
          </w:p>
        </w:tc>
      </w:tr>
      <w:tr>
        <w:tc>
          <w:tcPr>
            <w:tcW w:w="2600" w:type="dxa"/>
          </w:tcPr>
          <w:p>
            <w:r>
              <w:t xml:space="preserve">Desire</w:t>
            </w:r>
          </w:p>
        </w:tc>
        <w:tc>
          <w:tcPr>
            <w:tcW w:w="2600" w:type="dxa"/>
          </w:tcPr>
          <w:p>
            <w:r>
              <w:t xml:space="preserve">The proper Mara weekend</w:t>
            </w:r>
          </w:p>
        </w:tc>
        <w:tc>
          <w:tcPr>
            <w:tcW w:w="2600" w:type="dxa"/>
          </w:tcPr>
          <w:p>
            <w:r>
              <w:t xml:space="preserve">You have seen the Mara online. Now do it properly: 3 days, guided game drives, lodge/camp stay, meals, park fees, and Nairobi return transport.</w:t>
            </w:r>
          </w:p>
        </w:tc>
      </w:tr>
      <w:tr>
        <w:tc>
          <w:tcPr>
            <w:tcW w:w="2600" w:type="dxa"/>
          </w:tcPr>
          <w:p>
            <w:r>
              <w:t xml:space="preserve">Desire</w:t>
            </w:r>
          </w:p>
        </w:tc>
        <w:tc>
          <w:tcPr>
            <w:tcW w:w="2600" w:type="dxa"/>
          </w:tcPr>
          <w:p>
            <w:r>
              <w:t xml:space="preserve">Private escape, not chaos</w:t>
            </w:r>
          </w:p>
        </w:tc>
        <w:tc>
          <w:tcPr>
            <w:tcW w:w="2600" w:type="dxa"/>
          </w:tcPr>
          <w:p>
            <w:r>
              <w:t xml:space="preserve">For couples, families, and small groups who want a calm, well-planned safari instead of a rushed poster package.</w:t>
            </w:r>
          </w:p>
        </w:tc>
      </w:tr>
      <w:tr>
        <w:tc>
          <w:tcPr>
            <w:tcW w:w="2600" w:type="dxa"/>
          </w:tcPr>
          <w:p>
            <w:r>
              <w:t xml:space="preserve">Problem</w:t>
            </w:r>
          </w:p>
        </w:tc>
        <w:tc>
          <w:tcPr>
            <w:tcW w:w="2600" w:type="dxa"/>
          </w:tcPr>
          <w:p>
            <w:r>
              <w:t xml:space="preserve">Planning fatigue</w:t>
            </w:r>
          </w:p>
        </w:tc>
        <w:tc>
          <w:tcPr>
            <w:tcW w:w="2600" w:type="dxa"/>
          </w:tcPr>
          <w:p>
            <w:r>
              <w:t xml:space="preserve">Everyone wants to go to the Mara. Nobody wants to compare lodges, park fees, transport, meals, and guides. Ashford handles the details.</w:t>
            </w:r>
          </w:p>
        </w:tc>
      </w:tr>
      <w:tr>
        <w:tc>
          <w:tcPr>
            <w:tcW w:w="2600" w:type="dxa"/>
          </w:tcPr>
          <w:p>
            <w:r>
              <w:t xml:space="preserve">Problem</w:t>
            </w:r>
          </w:p>
        </w:tc>
        <w:tc>
          <w:tcPr>
            <w:tcW w:w="2600" w:type="dxa"/>
          </w:tcPr>
          <w:p>
            <w:r>
              <w:t xml:space="preserve">Hidden costs</w:t>
            </w:r>
          </w:p>
        </w:tc>
        <w:tc>
          <w:tcPr>
            <w:tcW w:w="2600" w:type="dxa"/>
          </w:tcPr>
          <w:p>
            <w:r>
              <w:t xml:space="preserve">Know what is included before you pay: park fees, transport, accommodation, meals, guide, game drives, taxes, and bottled water.</w:t>
            </w:r>
          </w:p>
        </w:tc>
      </w:tr>
      <w:tr>
        <w:tc>
          <w:tcPr>
            <w:tcW w:w="2600" w:type="dxa"/>
          </w:tcPr>
          <w:p>
            <w:r>
              <w:t xml:space="preserve">Objection</w:t>
            </w:r>
          </w:p>
        </w:tc>
        <w:tc>
          <w:tcPr>
            <w:tcW w:w="2600" w:type="dxa"/>
          </w:tcPr>
          <w:p>
            <w:r>
              <w:t xml:space="preserve">Is it worth the price?</w:t>
            </w:r>
          </w:p>
        </w:tc>
        <w:tc>
          <w:tcPr>
            <w:tcW w:w="2600" w:type="dxa"/>
          </w:tcPr>
          <w:p>
            <w:r>
              <w:t xml:space="preserve">The value is in the full experience: professional guide, proper itinerary, included park fees, accommodation, meals, and reliable vehicle choice.</w:t>
            </w:r>
          </w:p>
        </w:tc>
      </w:tr>
      <w:tr>
        <w:tc>
          <w:tcPr>
            <w:tcW w:w="2600" w:type="dxa"/>
          </w:tcPr>
          <w:p>
            <w:r>
              <w:t xml:space="preserve">Objection</w:t>
            </w:r>
          </w:p>
        </w:tc>
        <w:tc>
          <w:tcPr>
            <w:tcW w:w="2600" w:type="dxa"/>
          </w:tcPr>
          <w:p>
            <w:r>
              <w:t xml:space="preserve">Can I trust this operator?</w:t>
            </w:r>
          </w:p>
        </w:tc>
        <w:tc>
          <w:tcPr>
            <w:tcW w:w="2600" w:type="dxa"/>
          </w:tcPr>
          <w:p>
            <w:r>
              <w:t xml:space="preserve">Ashford is a Nairobi tour operator with published itinerary details, office contacts, clear inclusions, and a direct quote process.</w:t>
            </w:r>
          </w:p>
        </w:tc>
      </w:tr>
      <w:tr>
        <w:tc>
          <w:tcPr>
            <w:tcW w:w="2600" w:type="dxa"/>
          </w:tcPr>
          <w:p>
            <w:r>
              <w:t xml:space="preserve">Objective</w:t>
            </w:r>
          </w:p>
        </w:tc>
        <w:tc>
          <w:tcPr>
            <w:tcW w:w="2600" w:type="dxa"/>
          </w:tcPr>
          <w:p>
            <w:r>
              <w:t xml:space="preserve">Family memory</w:t>
            </w:r>
          </w:p>
        </w:tc>
        <w:tc>
          <w:tcPr>
            <w:tcW w:w="2600" w:type="dxa"/>
          </w:tcPr>
          <w:p>
            <w:r>
              <w:t xml:space="preserve">Give your children the Kenya safari story: Big Five country, open plains, lodge stay, and guided game drives.</w:t>
            </w:r>
          </w:p>
        </w:tc>
      </w:tr>
    </w:tbl>
    <w:p>
      <w:pPr>
        <w:pStyle w:val="Heading1"/>
      </w:pPr>
      <w:r>
        <w:t xml:space="preserve">Offer Structure</w:t>
      </w:r>
    </w:p>
    <w:p>
      <w:r>
        <w:t xml:space="preserve">- Primary CTA: Request a quote on WhatsApp.</w:t>
      </w:r>
    </w:p>
    <w:p>
      <w:r>
        <w:t xml:space="preserve">- WhatsApp pre-qualification questions: travel dates, number of adults, number of children, residency/citizenship, preferred vehicle, lodge preference, budget range, and whether airport pickup is needed.</w:t>
      </w:r>
    </w:p>
    <w:p>
      <w:r>
        <w:t xml:space="preserve">- Landing-page promise: 3 days / 2 nights, Nairobi-Maasai Mara-Nairobi, lodge/camp stay, professional safari guide, meals, park fees, game drives, and vehicle choice.</w:t>
      </w:r>
    </w:p>
    <w:p>
      <w:r>
        <w:t xml:space="preserve">- Conversion asset: one-page PDF or WhatsApp itinerary card with rates, inclusions/exclusions, payment terms, and booking steps.</w:t>
      </w:r>
    </w:p>
    <w:p>
      <w:r>
        <w:t xml:space="preserve">- Sales note: lead with clarity and reliability, not discounts. This avatar is willing to pay more if uncertainty is removed.</w:t>
      </w:r>
    </w:p>
    <w:p>
      <w:pPr>
        <w:pStyle w:val="Heading1"/>
      </w:pPr>
      <w:r>
        <w:t xml:space="preserve">Creative Deliverables By Week</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2600" w:type="dxa"/>
          </w:tcPr>
          <w:p>
            <w:r>
              <w:t xml:space="preserve">Week</w:t>
            </w:r>
          </w:p>
        </w:tc>
        <w:tc>
          <w:tcPr>
            <w:tcW w:w="2600" w:type="dxa"/>
          </w:tcPr>
          <w:p>
            <w:r>
              <w:t xml:space="preserve">Objective</w:t>
            </w:r>
          </w:p>
        </w:tc>
        <w:tc>
          <w:tcPr>
            <w:tcW w:w="2600" w:type="dxa"/>
          </w:tcPr>
          <w:p>
            <w:r>
              <w:t xml:space="preserve">Creative Deliverables</w:t>
            </w:r>
          </w:p>
        </w:tc>
        <w:tc>
          <w:tcPr>
            <w:tcW w:w="2600" w:type="dxa"/>
          </w:tcPr>
          <w:p>
            <w:r>
              <w:t xml:space="preserve">Media Action</w:t>
            </w:r>
          </w:p>
        </w:tc>
      </w:tr>
      <w:tr>
        <w:tc>
          <w:tcPr>
            <w:tcW w:w="2600" w:type="dxa"/>
          </w:tcPr>
          <w:p>
            <w:r>
              <w:t xml:space="preserve">Week 1</w:t>
            </w:r>
          </w:p>
        </w:tc>
        <w:tc>
          <w:tcPr>
            <w:tcW w:w="2600" w:type="dxa"/>
          </w:tcPr>
          <w:p>
            <w:r>
              <w:t xml:space="preserve">Launch testing and establish message-market fit</w:t>
            </w:r>
          </w:p>
        </w:tc>
        <w:tc>
          <w:tcPr>
            <w:tcW w:w="2600" w:type="dxa"/>
          </w:tcPr>
          <w:p>
            <w:r>
              <w:t xml:space="preserve">1 landing page review, 1 WhatsApp qualification script, 10 hooks, 4 static ads, 2 short videos/Reels, 1 carousel explaining itinerary/inclusions</w:t>
            </w:r>
          </w:p>
        </w:tc>
        <w:tc>
          <w:tcPr>
            <w:tcW w:w="2600" w:type="dxa"/>
          </w:tcPr>
          <w:p>
            <w:r>
              <w:t xml:space="preserve">Spend KSh 8,000-10,000 testing 4-6 creatives across Meta/Instagram. Optimize for WhatsApp conversations or landing page views if WhatsApp optimization is unavailable.</w:t>
            </w:r>
          </w:p>
        </w:tc>
      </w:tr>
      <w:tr>
        <w:tc>
          <w:tcPr>
            <w:tcW w:w="2600" w:type="dxa"/>
          </w:tcPr>
          <w:p>
            <w:r>
              <w:t xml:space="preserve">Week 2</w:t>
            </w:r>
          </w:p>
        </w:tc>
        <w:tc>
          <w:tcPr>
            <w:tcW w:w="2600" w:type="dxa"/>
          </w:tcPr>
          <w:p>
            <w:r>
              <w:t xml:space="preserve">Test objections and pain points</w:t>
            </w:r>
          </w:p>
        </w:tc>
        <w:tc>
          <w:tcPr>
            <w:tcW w:w="2600" w:type="dxa"/>
          </w:tcPr>
          <w:p>
            <w:r>
              <w:t xml:space="preserve">3 objection ads: hidden costs, trust, value; 2 problem ads: planning fatigue and chaotic group trips; 1 family-memory creative</w:t>
            </w:r>
          </w:p>
        </w:tc>
        <w:tc>
          <w:tcPr>
            <w:tcW w:w="2600" w:type="dxa"/>
          </w:tcPr>
          <w:p>
            <w:r>
              <w:t xml:space="preserve">Spend KSh 10,000. Pause weak creatives after meaningful spend. Keep only ads with strong CTR and qualified WhatsApp starts.</w:t>
            </w:r>
          </w:p>
        </w:tc>
      </w:tr>
      <w:tr>
        <w:tc>
          <w:tcPr>
            <w:tcW w:w="2600" w:type="dxa"/>
          </w:tcPr>
          <w:p>
            <w:r>
              <w:t xml:space="preserve">Week 3</w:t>
            </w:r>
          </w:p>
        </w:tc>
        <w:tc>
          <w:tcPr>
            <w:tcW w:w="2600" w:type="dxa"/>
          </w:tcPr>
          <w:p>
            <w:r>
              <w:t xml:space="preserve">Scale early winners and build retargeting</w:t>
            </w:r>
          </w:p>
        </w:tc>
        <w:tc>
          <w:tcPr>
            <w:tcW w:w="2600" w:type="dxa"/>
          </w:tcPr>
          <w:p>
            <w:r>
              <w:t xml:space="preserve">2 winner variations, 1 testimonial/proof-style ad, 1 'what is included' carousel, 1 route/itinerary video</w:t>
            </w:r>
          </w:p>
        </w:tc>
        <w:tc>
          <w:tcPr>
            <w:tcW w:w="2600" w:type="dxa"/>
          </w:tcPr>
          <w:p>
            <w:r>
              <w:t xml:space="preserve">Spend KSh 12,000. Put 60-70% into best winning angle, 20-25% into retargeting, 10-15% into new tests.</w:t>
            </w:r>
          </w:p>
        </w:tc>
      </w:tr>
      <w:tr>
        <w:tc>
          <w:tcPr>
            <w:tcW w:w="2600" w:type="dxa"/>
          </w:tcPr>
          <w:p>
            <w:r>
              <w:t xml:space="preserve">Week 4</w:t>
            </w:r>
          </w:p>
        </w:tc>
        <w:tc>
          <w:tcPr>
            <w:tcW w:w="2600" w:type="dxa"/>
          </w:tcPr>
          <w:p>
            <w:r>
              <w:t xml:space="preserve">Push conversion and prepare next month</w:t>
            </w:r>
          </w:p>
        </w:tc>
        <w:tc>
          <w:tcPr>
            <w:tcW w:w="2600" w:type="dxa"/>
          </w:tcPr>
          <w:p>
            <w:r>
              <w:t xml:space="preserve">2 urgency/availability ads, 1 comparison ad, 1 family/couple variant, final report with winning hooks and audience notes</w:t>
            </w:r>
          </w:p>
        </w:tc>
        <w:tc>
          <w:tcPr>
            <w:tcW w:w="2600" w:type="dxa"/>
          </w:tcPr>
          <w:p>
            <w:r>
              <w:t xml:space="preserve">Spend KSh 8,000-10,000. Retarget all video viewers, landing visitors, Instagram/Facebook engagers, and WhatsApp clickers.</w:t>
            </w:r>
          </w:p>
        </w:tc>
      </w:tr>
    </w:tbl>
    <w:p>
      <w:pPr>
        <w:pStyle w:val="Heading1"/>
      </w:pPr>
      <w:r>
        <w:t xml:space="preserve">KSh 40,000 Month-One Budget Plan</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2600" w:type="dxa"/>
          </w:tcPr>
          <w:p>
            <w:r>
              <w:t xml:space="preserve">Budget Bucket</w:t>
            </w:r>
          </w:p>
        </w:tc>
        <w:tc>
          <w:tcPr>
            <w:tcW w:w="2600" w:type="dxa"/>
          </w:tcPr>
          <w:p>
            <w:r>
              <w:t xml:space="preserve">Amount</w:t>
            </w:r>
          </w:p>
        </w:tc>
        <w:tc>
          <w:tcPr>
            <w:tcW w:w="2600" w:type="dxa"/>
          </w:tcPr>
          <w:p>
            <w:r>
              <w:t xml:space="preserve">Purpose</w:t>
            </w:r>
          </w:p>
        </w:tc>
      </w:tr>
      <w:tr>
        <w:tc>
          <w:tcPr>
            <w:tcW w:w="2600" w:type="dxa"/>
          </w:tcPr>
          <w:p>
            <w:r>
              <w:t xml:space="preserve">Cold testing</w:t>
            </w:r>
          </w:p>
        </w:tc>
        <w:tc>
          <w:tcPr>
            <w:tcW w:w="2600" w:type="dxa"/>
          </w:tcPr>
          <w:p>
            <w:r>
              <w:t xml:space="preserve">KSh 22,000</w:t>
            </w:r>
          </w:p>
        </w:tc>
        <w:tc>
          <w:tcPr>
            <w:tcW w:w="2600" w:type="dxa"/>
          </w:tcPr>
          <w:p>
            <w:r>
              <w:t xml:space="preserve">Test different desires, objections, and problems against the chosen avatar.</w:t>
            </w:r>
          </w:p>
        </w:tc>
      </w:tr>
      <w:tr>
        <w:tc>
          <w:tcPr>
            <w:tcW w:w="2600" w:type="dxa"/>
          </w:tcPr>
          <w:p>
            <w:r>
              <w:t xml:space="preserve">Retargeting</w:t>
            </w:r>
          </w:p>
        </w:tc>
        <w:tc>
          <w:tcPr>
            <w:tcW w:w="2600" w:type="dxa"/>
          </w:tcPr>
          <w:p>
            <w:r>
              <w:t xml:space="preserve">KSh 8,000</w:t>
            </w:r>
          </w:p>
        </w:tc>
        <w:tc>
          <w:tcPr>
            <w:tcW w:w="2600" w:type="dxa"/>
          </w:tcPr>
          <w:p>
            <w:r>
              <w:t xml:space="preserve">Retarget page visitors, social engagers, video viewers, and people who clicked WhatsApp but did not complete inquiry.</w:t>
            </w:r>
          </w:p>
        </w:tc>
      </w:tr>
      <w:tr>
        <w:tc>
          <w:tcPr>
            <w:tcW w:w="2600" w:type="dxa"/>
          </w:tcPr>
          <w:p>
            <w:r>
              <w:t xml:space="preserve">Scaling winners</w:t>
            </w:r>
          </w:p>
        </w:tc>
        <w:tc>
          <w:tcPr>
            <w:tcW w:w="2600" w:type="dxa"/>
          </w:tcPr>
          <w:p>
            <w:r>
              <w:t xml:space="preserve">KSh 8,000</w:t>
            </w:r>
          </w:p>
        </w:tc>
        <w:tc>
          <w:tcPr>
            <w:tcW w:w="2600" w:type="dxa"/>
          </w:tcPr>
          <w:p>
            <w:r>
              <w:t xml:space="preserve">Push the best-performing creative/audience combination after Week 2.</w:t>
            </w:r>
          </w:p>
        </w:tc>
      </w:tr>
      <w:tr>
        <w:tc>
          <w:tcPr>
            <w:tcW w:w="2600" w:type="dxa"/>
          </w:tcPr>
          <w:p>
            <w:r>
              <w:t xml:space="preserve">Creative reserve</w:t>
            </w:r>
          </w:p>
        </w:tc>
        <w:tc>
          <w:tcPr>
            <w:tcW w:w="2600" w:type="dxa"/>
          </w:tcPr>
          <w:p>
            <w:r>
              <w:t xml:space="preserve">KSh 2,000</w:t>
            </w:r>
          </w:p>
        </w:tc>
        <w:tc>
          <w:tcPr>
            <w:tcW w:w="2600" w:type="dxa"/>
          </w:tcPr>
          <w:p>
            <w:r>
              <w:t xml:space="preserve">Boost an organic proof post, test one extra hook, or respond to a sudden seasonal opportunity.</w:t>
            </w:r>
          </w:p>
        </w:tc>
      </w:tr>
    </w:tbl>
    <w:p>
      <w:r>
        <w:t xml:space="preserve">Do not spread the budget across too many platforms at the start. Recommended month-one media mix: Meta/Instagram as the core channel, with WhatsApp as the conversion destination. TikTok can be used organically or boosted lightly only if video assets are strong.</w:t>
      </w:r>
    </w:p>
    <w:p>
      <w:pPr>
        <w:pStyle w:val="Heading1"/>
      </w:pPr>
      <w:r>
        <w:t xml:space="preserve">Creative Testing Matrix</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r>
        <w:tc>
          <w:tcPr>
            <w:tcW w:w="2600" w:type="dxa"/>
          </w:tcPr>
          <w:p>
            <w:r>
              <w:t xml:space="preserve">Test</w:t>
            </w:r>
          </w:p>
        </w:tc>
        <w:tc>
          <w:tcPr>
            <w:tcW w:w="2600" w:type="dxa"/>
          </w:tcPr>
          <w:p>
            <w:r>
              <w:t xml:space="preserve">Variant A</w:t>
            </w:r>
          </w:p>
        </w:tc>
        <w:tc>
          <w:tcPr>
            <w:tcW w:w="2600" w:type="dxa"/>
          </w:tcPr>
          <w:p>
            <w:r>
              <w:t xml:space="preserve">Variant B</w:t>
            </w:r>
          </w:p>
        </w:tc>
        <w:tc>
          <w:tcPr>
            <w:tcW w:w="2600" w:type="dxa"/>
          </w:tcPr>
          <w:p>
            <w:r>
              <w:t xml:space="preserve">Variant C</w:t>
            </w:r>
          </w:p>
        </w:tc>
      </w:tr>
      <w:tr>
        <w:tc>
          <w:tcPr>
            <w:tcW w:w="2600" w:type="dxa"/>
          </w:tcPr>
          <w:p>
            <w:r>
              <w:t xml:space="preserve">Hook</w:t>
            </w:r>
          </w:p>
        </w:tc>
        <w:tc>
          <w:tcPr>
            <w:tcW w:w="2600" w:type="dxa"/>
          </w:tcPr>
          <w:p>
            <w:r>
              <w:t xml:space="preserve">The Mara weekend you keep postponing</w:t>
            </w:r>
          </w:p>
        </w:tc>
        <w:tc>
          <w:tcPr>
            <w:tcW w:w="2600" w:type="dxa"/>
          </w:tcPr>
          <w:p>
            <w:r>
              <w:t xml:space="preserve">A proper Mara safari without planning stress</w:t>
            </w:r>
          </w:p>
        </w:tc>
        <w:tc>
          <w:tcPr>
            <w:tcW w:w="2600" w:type="dxa"/>
          </w:tcPr>
          <w:p>
            <w:r>
              <w:t xml:space="preserve">Before you pay for a safari, ask what is included</w:t>
            </w:r>
          </w:p>
        </w:tc>
      </w:tr>
      <w:tr>
        <w:tc>
          <w:tcPr>
            <w:tcW w:w="2600" w:type="dxa"/>
          </w:tcPr>
          <w:p>
            <w:r>
              <w:t xml:space="preserve">Visual</w:t>
            </w:r>
          </w:p>
        </w:tc>
        <w:tc>
          <w:tcPr>
            <w:tcW w:w="2600" w:type="dxa"/>
          </w:tcPr>
          <w:p>
            <w:r>
              <w:t xml:space="preserve">Hero wildlife/open plains</w:t>
            </w:r>
          </w:p>
        </w:tc>
        <w:tc>
          <w:tcPr>
            <w:tcW w:w="2600" w:type="dxa"/>
          </w:tcPr>
          <w:p>
            <w:r>
              <w:t xml:space="preserve">Couple/family/lodge comfort</w:t>
            </w:r>
          </w:p>
        </w:tc>
        <w:tc>
          <w:tcPr>
            <w:tcW w:w="2600" w:type="dxa"/>
          </w:tcPr>
          <w:p>
            <w:r>
              <w:t xml:space="preserve">Vehicle + guide + itinerary clarity</w:t>
            </w:r>
          </w:p>
        </w:tc>
      </w:tr>
      <w:tr>
        <w:tc>
          <w:tcPr>
            <w:tcW w:w="2600" w:type="dxa"/>
          </w:tcPr>
          <w:p>
            <w:r>
              <w:t xml:space="preserve">Desire</w:t>
            </w:r>
          </w:p>
        </w:tc>
        <w:tc>
          <w:tcPr>
            <w:tcW w:w="2600" w:type="dxa"/>
          </w:tcPr>
          <w:p>
            <w:r>
              <w:t xml:space="preserve">Prestige and memory</w:t>
            </w:r>
          </w:p>
        </w:tc>
        <w:tc>
          <w:tcPr>
            <w:tcW w:w="2600" w:type="dxa"/>
          </w:tcPr>
          <w:p>
            <w:r>
              <w:t xml:space="preserve">Family/couple bonding</w:t>
            </w:r>
          </w:p>
        </w:tc>
        <w:tc>
          <w:tcPr>
            <w:tcW w:w="2600" w:type="dxa"/>
          </w:tcPr>
          <w:p>
            <w:r>
              <w:t xml:space="preserve">Calm premium escape</w:t>
            </w:r>
          </w:p>
        </w:tc>
      </w:tr>
      <w:tr>
        <w:tc>
          <w:tcPr>
            <w:tcW w:w="2600" w:type="dxa"/>
          </w:tcPr>
          <w:p>
            <w:r>
              <w:t xml:space="preserve">Problem</w:t>
            </w:r>
          </w:p>
        </w:tc>
        <w:tc>
          <w:tcPr>
            <w:tcW w:w="2600" w:type="dxa"/>
          </w:tcPr>
          <w:p>
            <w:r>
              <w:t xml:space="preserve">No time to plan</w:t>
            </w:r>
          </w:p>
        </w:tc>
        <w:tc>
          <w:tcPr>
            <w:tcW w:w="2600" w:type="dxa"/>
          </w:tcPr>
          <w:p>
            <w:r>
              <w:t xml:space="preserve">Fear of hidden costs</w:t>
            </w:r>
          </w:p>
        </w:tc>
        <w:tc>
          <w:tcPr>
            <w:tcW w:w="2600" w:type="dxa"/>
          </w:tcPr>
          <w:p>
            <w:r>
              <w:t xml:space="preserve">Fear of unreliable operators</w:t>
            </w:r>
          </w:p>
        </w:tc>
      </w:tr>
      <w:tr>
        <w:tc>
          <w:tcPr>
            <w:tcW w:w="2600" w:type="dxa"/>
          </w:tcPr>
          <w:p>
            <w:r>
              <w:t xml:space="preserve">CTA</w:t>
            </w:r>
          </w:p>
        </w:tc>
        <w:tc>
          <w:tcPr>
            <w:tcW w:w="2600" w:type="dxa"/>
          </w:tcPr>
          <w:p>
            <w:r>
              <w:t xml:space="preserve">Request quote on WhatsApp</w:t>
            </w:r>
          </w:p>
        </w:tc>
        <w:tc>
          <w:tcPr>
            <w:tcW w:w="2600" w:type="dxa"/>
          </w:tcPr>
          <w:p>
            <w:r>
              <w:t xml:space="preserve">Ask for available dates</w:t>
            </w:r>
          </w:p>
        </w:tc>
        <w:tc>
          <w:tcPr>
            <w:tcW w:w="2600" w:type="dxa"/>
          </w:tcPr>
          <w:p>
            <w:r>
              <w:t xml:space="preserve">Get the itinerary and rates</w:t>
            </w:r>
          </w:p>
        </w:tc>
      </w:tr>
    </w:tbl>
    <w:p>
      <w:pPr>
        <w:pStyle w:val="Heading1"/>
      </w:pPr>
      <w:r>
        <w:t xml:space="preserve">Ad Concepts</w:t>
      </w:r>
    </w:p>
    <w:p>
      <w:pPr>
        <w:pStyle w:val="Heading2"/>
      </w:pPr>
      <w:r>
        <w:t xml:space="preserve">Ad 1: Desire - The Proper Mara Weekend</w:t>
      </w:r>
    </w:p>
    <w:p>
      <w:r>
        <w:t xml:space="preserve">Primary text: You do not need a long holiday to feel far away. Ashford's 3 Days / 2 Nights Maasai Mara Road Safari gives you Nairobi return transport, lodge or camp accommodation, meals, park fees, professional guide, and game drives across Kenya's classic safari landscape.</w:t>
      </w:r>
    </w:p>
    <w:p>
      <w:r>
        <w:t xml:space="preserve">Headline: A Proper 3-Day Mara Escape</w:t>
      </w:r>
    </w:p>
    <w:p>
      <w:r>
        <w:t xml:space="preserve">CTA: Request Quote on WhatsApp</w:t>
      </w:r>
    </w:p>
    <w:p>
      <w:pPr>
        <w:pStyle w:val="Heading2"/>
      </w:pPr>
      <w:r>
        <w:t xml:space="preserve">Ad 2: Problem - Everyone Wants To Go, Nobody Wants To Plan</w:t>
      </w:r>
    </w:p>
    <w:p>
      <w:r>
        <w:t xml:space="preserve">Primary text: Lodges, park fees, vehicles, meals, routes, guides, supplements - safari planning can become a whole job. Let Ashford handle the details. You choose your dates and vehicle. We send the itinerary, inclusions, and quote.</w:t>
      </w:r>
    </w:p>
    <w:p>
      <w:r>
        <w:t xml:space="preserve">Headline: Mara, Planned For You</w:t>
      </w:r>
    </w:p>
    <w:p>
      <w:r>
        <w:t xml:space="preserve">CTA: Get Quote</w:t>
      </w:r>
    </w:p>
    <w:p>
      <w:pPr>
        <w:pStyle w:val="Heading2"/>
      </w:pPr>
      <w:r>
        <w:t xml:space="preserve">Ad 3: Objection - What Exactly Is Included?</w:t>
      </w:r>
    </w:p>
    <w:p>
      <w:r>
        <w:t xml:space="preserve">Primary text: Before you pay for a safari, know what is included. This package includes Nairobi return transport, 2 nights accommodation, 6 meals, park entrance fees, professional safari guide, game drives, bottled water, and taxes. Ask for the full quote on WhatsApp.</w:t>
      </w:r>
    </w:p>
    <w:p>
      <w:r>
        <w:t xml:space="preserve">Headline: Clear Safari Inclusions</w:t>
      </w:r>
    </w:p>
    <w:p>
      <w:r>
        <w:t xml:space="preserve">CTA: WhatsApp Ashford</w:t>
      </w:r>
    </w:p>
    <w:p>
      <w:pPr>
        <w:pStyle w:val="Heading2"/>
      </w:pPr>
      <w:r>
        <w:t xml:space="preserve">Ad 4: Family Objective - Give Them The Kenya Story</w:t>
      </w:r>
    </w:p>
    <w:p>
      <w:r>
        <w:t xml:space="preserve">Primary text: Some memories are better than another weekend at the mall. Take the family to Maasai Mara for open plains, wildlife, lodge time, and guided game drives. Ashford handles the route, meals, vehicle, and itinerary.</w:t>
      </w:r>
    </w:p>
    <w:p>
      <w:r>
        <w:t xml:space="preserve">Headline: A Family Safari Worth Planning</w:t>
      </w:r>
    </w:p>
    <w:p>
      <w:r>
        <w:t xml:space="preserve">CTA: Request Family Quote</w:t>
      </w:r>
    </w:p>
    <w:p>
      <w:pPr>
        <w:pStyle w:val="Heading2"/>
      </w:pPr>
      <w:r>
        <w:t xml:space="preserve">Ad 5: Premium Objection - Not Another Chaotic Group Trip</w:t>
      </w:r>
    </w:p>
    <w:p>
      <w:r>
        <w:t xml:space="preserve">Primary text: If you want the Mara without the chaos, choose a safari planned around clarity, comfort, and a professional guide. Ask Ashford for a private quote for couples, families, or small groups.</w:t>
      </w:r>
    </w:p>
    <w:p>
      <w:r>
        <w:t xml:space="preserve">Headline: Mara Without The Chaos</w:t>
      </w:r>
    </w:p>
    <w:p>
      <w:r>
        <w:t xml:space="preserve">CTA: Request Private Quote</w:t>
      </w:r>
    </w:p>
    <w:p>
      <w:pPr>
        <w:pStyle w:val="Heading1"/>
      </w:pPr>
      <w:r>
        <w:t xml:space="preserve">Scale Rules</w:t>
      </w:r>
    </w:p>
    <w:p>
      <w:r>
        <w:t xml:space="preserve">- Kill ads that spend 1.5x the target cost per qualified WhatsApp lead without producing qualified conversations.</w:t>
      </w:r>
    </w:p>
    <w:p>
      <w:r>
        <w:t xml:space="preserve">- Do not scale based only on likes or cheap clicks. Scale based on WhatsApp conversations that include dates, number of travelers, and budget intent.</w:t>
      </w:r>
    </w:p>
    <w:p>
      <w:r>
        <w:t xml:space="preserve">- After Week 2, move 60-70% of spend to the best angle, not necessarily the best-looking design.</w:t>
      </w:r>
    </w:p>
    <w:p>
      <w:r>
        <w:t xml:space="preserve">- Duplicate the winning concept into three variants: family, couple, and premium small group.</w:t>
      </w:r>
    </w:p>
    <w:p>
      <w:r>
        <w:t xml:space="preserve">- If a creative wins, refresh the first 3 seconds or headline before increasing budget too aggressively.</w:t>
      </w:r>
    </w:p>
    <w:p>
      <w:pPr>
        <w:pStyle w:val="Heading1"/>
      </w:pPr>
      <w:r>
        <w:t xml:space="preserve">Weekly Reporting</w:t>
      </w:r>
    </w:p>
    <w:p>
      <w:r>
        <w:t xml:space="preserve">- Spend by campaign and ad set.</w:t>
      </w:r>
    </w:p>
    <w:p>
      <w:r>
        <w:t xml:space="preserve">- CTR, CPC, cost per WhatsApp click, cost per qualified WhatsApp lead.</w:t>
      </w:r>
    </w:p>
    <w:p>
      <w:r>
        <w:t xml:space="preserve">- Number of qualified conversations.</w:t>
      </w:r>
    </w:p>
    <w:p>
      <w:r>
        <w:t xml:space="preserve">- Top 3 objections heard in WhatsApp.</w:t>
      </w:r>
    </w:p>
    <w:p>
      <w:r>
        <w:t xml:space="preserve">- Best-performing hook, visual, and CTA.</w:t>
      </w:r>
    </w:p>
    <w:p>
      <w:r>
        <w:t xml:space="preserve">- Recommended creative changes for the next week.</w:t>
      </w:r>
    </w:p>
    <w:p>
      <w:pPr>
        <w:pStyle w:val="Heading1"/>
      </w:pPr>
      <w:r>
        <w:t xml:space="preserve">Creative Production Checklist</w:t>
      </w:r>
    </w:p>
    <w:p>
      <w:r>
        <w:t xml:space="preserve">- Hero wildlife image or road-to-Mara image.</w:t>
      </w:r>
    </w:p>
    <w:p>
      <w:r>
        <w:t xml:space="preserve">- Vehicle image: safari van and/or Land Cruiser.</w:t>
      </w:r>
    </w:p>
    <w:p>
      <w:r>
        <w:t xml:space="preserve">- Accommodation image: Mara Sopa Lodge or Sentrim Mara Camp, if usage is permitted.</w:t>
      </w:r>
    </w:p>
    <w:p>
      <w:r>
        <w:t xml:space="preserve">- Simple itinerary card: Day 1 Nairobi-Mara, Day 2 Mara game drives, Day 3 Mara-Nairobi.</w:t>
      </w:r>
    </w:p>
    <w:p>
      <w:r>
        <w:t xml:space="preserve">- Inclusions card.</w:t>
      </w:r>
    </w:p>
    <w:p>
      <w:r>
        <w:t xml:space="preserve">- WhatsApp quote button with prefilled message.</w:t>
      </w:r>
    </w:p>
    <w:p>
      <w:r>
        <w:t xml:space="preserve">- Proof elements: office contacts, Ashford brand, published package link, guide/vehicle clarity.</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next w:val="Normal"/>
    <w:pPr>
      <w:spacing w:before="360" w:after="120"/>
    </w:pPr>
    <w:rPr>
      <w:b/>
      <w:color w:val="1F4E79"/>
      <w:sz w:val="32"/>
    </w:rPr>
  </w:style>
  <w:style w:type="paragraph" w:styleId="Heading2">
    <w:name w:val="heading 2"/>
    <w:basedOn w:val="Normal"/>
    <w:next w:val="Normal"/>
    <w:pPr>
      <w:spacing w:before="240" w:after="80"/>
    </w:pPr>
    <w:rPr>
      <w:b/>
      <w:color w:val="2F5597"/>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