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D6070">
      <w:pPr>
        <w:spacing w:before="480" w:after="480" w:line="288" w:lineRule="auto"/>
        <w:ind w:left="0"/>
      </w:pPr>
      <w:bookmarkStart w:id="8" w:name="_GoBack"/>
      <w:bookmarkEnd w:id="8"/>
      <w:r>
        <w:rPr>
          <w:rFonts w:ascii="Arial" w:hAnsi="Arial" w:eastAsia="等线" w:cs="Arial"/>
          <w:b/>
          <w:sz w:val="52"/>
        </w:rPr>
        <w:t>作业：开源大模型结构调研</w:t>
      </w:r>
    </w:p>
    <w:p w14:paraId="148562D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一、本次文档中已经讲解过的模型梳理</w:t>
      </w:r>
      <w:bookmarkEnd w:id="0"/>
    </w:p>
    <w:p w14:paraId="04F4A4B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Kimi K3（月之暗面）</w:t>
      </w:r>
      <w:bookmarkEnd w:id="1"/>
    </w:p>
    <w:p w14:paraId="1428370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MoE 混合专家模型，原生多模态</w:t>
      </w:r>
    </w:p>
    <w:p w14:paraId="74F641E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参数：总参 2.8T，每次 token 激活 104B 参数；上下文窗口 1M tokens</w:t>
      </w:r>
    </w:p>
    <w:p w14:paraId="1BE0B28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核心架构创新</w:t>
      </w:r>
    </w:p>
    <w:p w14:paraId="459E086E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混合注意力 Hybrid Attention</w:t>
      </w:r>
      <w:r>
        <w:rPr>
          <w:rFonts w:ascii="Arial" w:hAnsi="Arial" w:eastAsia="等线" w:cs="Arial"/>
          <w:sz w:val="22"/>
        </w:rPr>
        <w:t>：每个 block 内部 3 层</w:t>
      </w:r>
      <w:r>
        <w:rPr>
          <w:rFonts w:ascii="Arial" w:hAnsi="Arial" w:eastAsia="等线" w:cs="Arial"/>
          <w:b/>
          <w:sz w:val="22"/>
        </w:rPr>
        <w:t>KDA(Kimi Delta Attention)线性注意力 +1 层Gated MLA</w:t>
      </w:r>
      <w:r>
        <w:rPr>
          <w:rFonts w:ascii="Arial" w:hAnsi="Arial" w:eastAsia="等线" w:cs="Arial"/>
          <w:sz w:val="22"/>
        </w:rPr>
        <w:t>；KDA 采用下界约束衰减解决数值溢出，不用 RoPE，使用 NoPE 无位置编码。</w:t>
      </w:r>
    </w:p>
    <w:p w14:paraId="3E91242A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Attention Residuals（AttnRes）注意力残差</w:t>
      </w:r>
      <w:r>
        <w:rPr>
          <w:rFonts w:ascii="Arial" w:hAnsi="Arial" w:eastAsia="等线" w:cs="Arial"/>
          <w:sz w:val="22"/>
        </w:rPr>
        <w:t>：深度维度的注意力，每一层可以直接读取前面所有 block 输出，打破传统顺序残差瓶颈，使用 Block AttnRes 降低开销。</w:t>
      </w:r>
    </w:p>
    <w:p w14:paraId="6ACDE77D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Stable LatentMoE</w:t>
      </w:r>
      <w:r>
        <w:rPr>
          <w:rFonts w:ascii="Arial" w:hAnsi="Arial" w:eastAsia="等线" w:cs="Arial"/>
          <w:sz w:val="22"/>
        </w:rPr>
        <w:t>：896 个路由专家，每个 token 激活</w:t>
      </w:r>
      <w:r>
        <w:rPr>
          <w:rFonts w:ascii="Arial" w:hAnsi="Arial" w:eastAsia="等线" w:cs="Arial"/>
          <w:b/>
          <w:sz w:val="22"/>
        </w:rPr>
        <w:t>16 个专家</w:t>
      </w:r>
      <w:r>
        <w:rPr>
          <w:rFonts w:ascii="Arial" w:hAnsi="Arial" w:eastAsia="等线" w:cs="Arial"/>
          <w:sz w:val="22"/>
        </w:rPr>
        <w:t>；引入</w:t>
      </w:r>
      <w:r>
        <w:rPr>
          <w:rFonts w:ascii="Arial" w:hAnsi="Arial" w:eastAsia="等线" w:cs="Arial"/>
          <w:b/>
          <w:sz w:val="22"/>
        </w:rPr>
        <w:t>Quantile Balancing 分位数平衡</w:t>
      </w:r>
      <w:r>
        <w:rPr>
          <w:rFonts w:ascii="Arial" w:hAnsi="Arial" w:eastAsia="等线" w:cs="Arial"/>
          <w:sz w:val="22"/>
        </w:rPr>
        <w:t>做无辅助损失路由；SiTU‑GLU 激活函数限制激活值爆炸；增加 RMSNorm 归一化。</w:t>
      </w:r>
    </w:p>
    <w:p w14:paraId="1F5F1096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视觉：MoonViT‑V2 从头训练视觉编码器，不是复用预训练 SigLIP。</w:t>
      </w:r>
    </w:p>
    <w:p w14:paraId="2BF4FCDF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优化器：Per‑Head Muon；支持 MXFP4 量化感知训练。</w:t>
      </w:r>
    </w:p>
    <w:p w14:paraId="2F0A83F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训练：面向 Agent 智能体、长上下文工具调用做大规模多难度等级 RL；权重完全开源。</w:t>
      </w:r>
    </w:p>
    <w:p w14:paraId="4E6737F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DeepSeek‑V3（深度求索）</w:t>
      </w:r>
      <w:bookmarkEnd w:id="2"/>
    </w:p>
    <w:p w14:paraId="0023859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MoE 混合专家，文本基座</w:t>
      </w:r>
    </w:p>
    <w:p w14:paraId="60BA733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参数：总参 671B，单 token 激活 37B；上下文 128K（YaRN 扩展）</w:t>
      </w:r>
    </w:p>
    <w:p w14:paraId="279F7E2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核心架构创新</w:t>
      </w:r>
    </w:p>
    <w:p w14:paraId="792C21E3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MLA 多头隐式注意力</w:t>
      </w:r>
      <w:r>
        <w:rPr>
          <w:rFonts w:ascii="Arial" w:hAnsi="Arial" w:eastAsia="等线" w:cs="Arial"/>
          <w:sz w:val="22"/>
        </w:rPr>
        <w:t>：把 KV 压缩为低维 latent 向量，大幅降低 KV‑Cache 显存开销，搭配 RoPE 位置编码。</w:t>
      </w:r>
    </w:p>
    <w:p w14:paraId="7F17D35E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DeepSeekMoE</w:t>
      </w:r>
      <w:r>
        <w:rPr>
          <w:rFonts w:ascii="Arial" w:hAnsi="Arial" w:eastAsia="等线" w:cs="Arial"/>
          <w:sz w:val="22"/>
        </w:rPr>
        <w:t>：1 个共享专家 + 256 路由专家，每个 token 激活 8 个专家；</w:t>
      </w:r>
      <w:r>
        <w:rPr>
          <w:rFonts w:ascii="Arial" w:hAnsi="Arial" w:eastAsia="等线" w:cs="Arial"/>
          <w:b/>
          <w:sz w:val="22"/>
        </w:rPr>
        <w:t>无辅助损失负载均衡（Auxiliary‑Loss‑Free）</w:t>
      </w:r>
      <w:r>
        <w:rPr>
          <w:rFonts w:ascii="Arial" w:hAnsi="Arial" w:eastAsia="等线" w:cs="Arial"/>
          <w:sz w:val="22"/>
        </w:rPr>
        <w:t>，靠专家偏置 bias 动态调整路由，只在路由生效，不改变 gate 权重。</w:t>
      </w:r>
    </w:p>
    <w:p w14:paraId="03193B3B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MTP 多 Token 预测</w:t>
      </w:r>
      <w:r>
        <w:rPr>
          <w:rFonts w:ascii="Arial" w:hAnsi="Arial" w:eastAsia="等线" w:cs="Arial"/>
          <w:sz w:val="22"/>
        </w:rPr>
        <w:t>：训练阶段同时预测后续多个 token，提升基座能力；推理时可丢弃模块，也可用于 EAGLE 类投机解码。</w:t>
      </w:r>
    </w:p>
    <w:p w14:paraId="6EA06010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训练工程：FP8 混合精度训练、DualPipe 流水线并行；支持 Node‑Limited 路由限制跨节点通信开销。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5A3F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F2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区别：DeepSeek‑V3 没有原生视觉，没有 KDA/AttnRes，MoE 专家规模远小于 Kimi K3。</w:t>
            </w:r>
          </w:p>
        </w:tc>
      </w:tr>
    </w:tbl>
    <w:p w14:paraId="570F36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49605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二、未讲解的开源模型调研（ Qwen3.8‑27B、 Mixtral‑8x22B、Llama3.3‑70B、GLM‑5）</w:t>
      </w:r>
      <w:bookmarkEnd w:id="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493E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B0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选取覆盖：稠密 Dense、MoE 稀疏；原生多模态 / 纯文本；不同注意力范式。</w:t>
            </w:r>
          </w:p>
        </w:tc>
      </w:tr>
    </w:tbl>
    <w:p w14:paraId="6696E9D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Qwen3.8‑27B（千问，阿里巴巴）</w:t>
      </w:r>
      <w:bookmarkEnd w:id="4"/>
    </w:p>
    <w:p w14:paraId="0ACBC8C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Dense 稠密原生多模态模型（不是 MoE）</w:t>
      </w:r>
    </w:p>
    <w:p w14:paraId="4154B33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参数：27B 总参数；原生上下文 262K，YaRN 外推最大</w:t>
      </w:r>
      <w:r>
        <w:rPr>
          <w:rFonts w:ascii="Arial" w:hAnsi="Arial" w:eastAsia="等线" w:cs="Arial"/>
          <w:b/>
          <w:sz w:val="22"/>
        </w:rPr>
        <w:t>1M tokens</w:t>
      </w:r>
      <w:r>
        <w:rPr>
          <w:rFonts w:ascii="Arial" w:hAnsi="Arial" w:eastAsia="等线" w:cs="Arial"/>
          <w:sz w:val="22"/>
        </w:rPr>
        <w:t>；Apache2.0 可商用开源。</w:t>
      </w:r>
    </w:p>
    <w:p w14:paraId="38620A8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核心架构特点</w:t>
      </w:r>
    </w:p>
    <w:p w14:paraId="5C30CC47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混合注意力架构：Gated DeltaNet + Gated Full‑Attention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64 层，以</w:t>
      </w:r>
      <w:r>
        <w:rPr>
          <w:rFonts w:ascii="Consolas" w:hAnsi="Consolas" w:eastAsia="Consolas" w:cs="Consolas"/>
          <w:sz w:val="22"/>
          <w:shd w:val="clear" w:fill="EFF0F1"/>
        </w:rPr>
        <w:t>3层Gated DeltaNet线性注意力 + 1层门控全注意力</w:t>
      </w:r>
      <w:r>
        <w:rPr>
          <w:rFonts w:ascii="Arial" w:hAnsi="Arial" w:eastAsia="等线" w:cs="Arial"/>
          <w:sz w:val="22"/>
        </w:rPr>
        <w:t>为单元，重复 16 次；48 层线性注意力，仅 16 层标准二次复杂度全注意力。DeltaNet 是类似 SSM 的循环状态注意力，长序列显存开销低；周期性全注意力保留强依赖建模能力。</w:t>
      </w:r>
    </w:p>
    <w:p w14:paraId="42587842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原生多模态：内置视觉编码器，原生支持图片、长视频，不是外挂适配器。</w:t>
      </w:r>
    </w:p>
    <w:p w14:paraId="34E73B1A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内置 MTP 多 token 预测模块，可做投机解码加速推理。</w:t>
      </w:r>
    </w:p>
    <w:p w14:paraId="3CA08053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原生支持</w:t>
      </w:r>
      <w:r>
        <w:rPr>
          <w:rFonts w:ascii="Arial" w:hAnsi="Arial" w:eastAsia="等线" w:cs="Arial"/>
          <w:b/>
          <w:sz w:val="22"/>
        </w:rPr>
        <w:t>reasoning‑effort 推理强度控制</w:t>
      </w:r>
      <w:r>
        <w:rPr>
          <w:rFonts w:ascii="Arial" w:hAnsi="Arial" w:eastAsia="等线" w:cs="Arial"/>
          <w:sz w:val="22"/>
        </w:rPr>
        <w:t>（low/high/max），可以开关显式思考过程。</w:t>
      </w:r>
    </w:p>
    <w:p w14:paraId="5CED71C8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FFN 使用 SwiGLU；词表 248320。</w:t>
      </w:r>
    </w:p>
    <w:p w14:paraId="2F118C0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部署优势：稠密模型，没有 MoE 专家调度开销，量化后可在消费级 GPU 运行。</w:t>
      </w:r>
    </w:p>
    <w:p w14:paraId="70802B5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Mixtral‑8x22B（Mistral AI）</w:t>
      </w:r>
      <w:bookmarkEnd w:id="5"/>
    </w:p>
    <w:p w14:paraId="430245F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：经典开源 MoE（纯文本）</w:t>
      </w:r>
    </w:p>
    <w:p w14:paraId="572985C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参数：总参 141B，每个 token 激活</w:t>
      </w:r>
      <w:r>
        <w:rPr>
          <w:rFonts w:ascii="Arial" w:hAnsi="Arial" w:eastAsia="等线" w:cs="Arial"/>
          <w:b/>
          <w:sz w:val="22"/>
        </w:rPr>
        <w:t>2 个专家（8 选 2）</w:t>
      </w:r>
      <w:r>
        <w:rPr>
          <w:rFonts w:ascii="Arial" w:hAnsi="Arial" w:eastAsia="等线" w:cs="Arial"/>
          <w:sz w:val="22"/>
        </w:rPr>
        <w:t>；上下文 64K。</w:t>
      </w:r>
    </w:p>
    <w:p w14:paraId="580A5D2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核心架构特点</w:t>
      </w:r>
    </w:p>
    <w:p w14:paraId="344D4FF5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 Transformer，标准 SwiGLU FFN；</w:t>
      </w:r>
      <w:r>
        <w:rPr>
          <w:rFonts w:ascii="Arial" w:hAnsi="Arial" w:eastAsia="等线" w:cs="Arial"/>
          <w:b/>
          <w:sz w:val="22"/>
        </w:rPr>
        <w:t>传统 Top‑k MoE</w:t>
      </w:r>
      <w:r>
        <w:rPr>
          <w:rFonts w:ascii="Arial" w:hAnsi="Arial" w:eastAsia="等线" w:cs="Arial"/>
          <w:sz w:val="22"/>
        </w:rPr>
        <w:t>，没有共享专家；使用辅助损失做专家负载均衡。</w:t>
      </w:r>
    </w:p>
    <w:p w14:paraId="5E6F7A97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普通标准 MHA 多头注意力，滑动窗口注意力；RoPE 位置编码。</w:t>
      </w:r>
    </w:p>
    <w:p w14:paraId="3270E34B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没有 MLA、KDA 这类高级注意力优化；无原生多模态。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2716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98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定位：早期开源 MoE 标杆；缺点专家数量少，依赖辅助损失，长上下文效率一般。</w:t>
            </w:r>
          </w:p>
        </w:tc>
      </w:tr>
    </w:tbl>
    <w:p w14:paraId="2AB89A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###3. Llama 3.3‑70B（Meta）</w:t>
      </w:r>
    </w:p>
    <w:p w14:paraId="7098060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Dense 稠密纯文本模型</w:t>
      </w:r>
    </w:p>
    <w:p w14:paraId="3B60D49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参数：70B；上下文 128K；RoPE 位置编码。</w:t>
      </w:r>
    </w:p>
    <w:p w14:paraId="65DA9FF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核心架构特点</w:t>
      </w:r>
    </w:p>
    <w:p w14:paraId="5DAD3F5E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标准完整 MHA 多头注意力，SwiGLU，RMSNorm 预归一；没有线性注意力 / MoE。</w:t>
      </w:r>
    </w:p>
    <w:p w14:paraId="7B4B840D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依靠 YaRN 做上下文扩展；无原生视觉。</w:t>
      </w:r>
    </w:p>
    <w:p w14:paraId="63D9F958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架构保守，没有花哨创新，工程生态极其完善；权重非完全开源，社区衍生版本极多。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8B88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1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特点：稠密大模型基线，推理简单，但长序列 KV‑Cache 开销大。</w:t>
            </w:r>
          </w:p>
        </w:tc>
      </w:tr>
    </w:tbl>
    <w:p w14:paraId="7063E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###4. GLM‑5（智谱 AI，MoE）</w:t>
      </w:r>
    </w:p>
    <w:p w14:paraId="6BE6ECC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：MoE 稀疏模型，文本为主</w:t>
      </w:r>
    </w:p>
    <w:p w14:paraId="37E3A1B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参数：总参 744B，激活约 40B；上下文 128‑200K。</w:t>
      </w:r>
    </w:p>
    <w:p w14:paraId="1A3647A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核心架构特点</w:t>
      </w:r>
    </w:p>
    <w:p w14:paraId="1E0D6113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DSA（Dual‑Stream Attention 双流注意力）+ MLA 多头隐式注意力</w:t>
      </w:r>
      <w:r>
        <w:rPr>
          <w:rFonts w:ascii="Arial" w:hAnsi="Arial" w:eastAsia="等线" w:cs="Arial"/>
          <w:sz w:val="22"/>
        </w:rPr>
        <w:t>结合；融合流注意力 + 隐式 KV 压缩。</w:t>
      </w:r>
    </w:p>
    <w:p w14:paraId="62819725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DeepSeekMoE 类 MoE 结构；使用 SwiGLU；RoPE 位置编码。</w:t>
      </w:r>
    </w:p>
    <w:p w14:paraId="4E5113B2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引入多 token 预测 MTP；支持量化感知训练。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379C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8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特点：国内开源 MoE，DSA 双流注意力是核心创新，兼顾长文本效率和全局建模。</w:t>
            </w:r>
          </w:p>
        </w:tc>
      </w:tr>
    </w:tbl>
    <w:p w14:paraId="343C3D6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三、关键模型架构对比总表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50DB2E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97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78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F3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总参 / 激活参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B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注意力方案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B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MoE 方案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8B0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多模态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86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6D9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关键特色</w:t>
            </w:r>
          </w:p>
        </w:tc>
      </w:tr>
      <w:tr w14:paraId="2239A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6C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Kimi K3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E4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C8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2.8T /104B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06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3×KDA +1×Gated‑MLA，NoPE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7E2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Stable LatentMoE，896 专家，QB 分位数平衡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8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✅原生 MoonViT‑V2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EA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1M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D6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AttnRes 深度注意力，Agent 强化学习，完全开源</w:t>
            </w:r>
          </w:p>
        </w:tc>
      </w:tr>
      <w:tr w14:paraId="764771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3B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DeepSeek‑V3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73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5B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671B /37B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39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MLA + RoPE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3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DeepSeekMoE，256 专家，无辅助损失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A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❌文本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12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FB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MTP 多 token 预测，FP8 训练，DualPipe</w:t>
            </w:r>
          </w:p>
        </w:tc>
      </w:tr>
      <w:tr w14:paraId="58FFC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16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Qwen3.8‑27B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D4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Dense 稠密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40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27B /27B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79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3×Gated DeltaNet +1× 全注意力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6D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 MoE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4C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✅原生图文视频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9E1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262K (外推 1M)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9C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稠密混合线性注意力；可开关思考；Apache2.0 商用</w:t>
            </w:r>
          </w:p>
        </w:tc>
      </w:tr>
      <w:tr w14:paraId="1E352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BF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Mixtral‑8x22B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80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68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141B /~39B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E7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 MHA + 滑动窗口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F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 专家选 2，辅助损失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CE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❌文本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9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64K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9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经典早期开源 MoE，架构保守</w:t>
            </w:r>
          </w:p>
        </w:tc>
      </w:tr>
      <w:tr w14:paraId="0452B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E0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Llama3.3‑70B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527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Dense 稠密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F5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70B /70B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CE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 MHA RoPE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04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 MoE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63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❌文本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4B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33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生态最强，传统 Transformer 基线</w:t>
            </w:r>
          </w:p>
        </w:tc>
      </w:tr>
      <w:tr w14:paraId="13FB6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D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GLM‑5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A4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F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744B /40B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159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DSA 双流注意力 + MLA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2A0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DeepSeekMoE 变体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9F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❌文本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39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9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DSA 双流注意力，MTP</w:t>
            </w:r>
          </w:p>
        </w:tc>
      </w:tr>
    </w:tbl>
    <w:p w14:paraId="5207384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四、架构趋势小结</w:t>
      </w:r>
      <w:bookmarkEnd w:id="7"/>
    </w:p>
    <w:p w14:paraId="51EE7D8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两大路线分化</w:t>
      </w:r>
      <w:r>
        <w:rPr>
          <w:rFonts w:ascii="Arial" w:hAnsi="Arial" w:eastAsia="等线" w:cs="Arial"/>
          <w:sz w:val="22"/>
        </w:rPr>
        <w:t>：</w:t>
      </w:r>
    </w:p>
    <w:p w14:paraId="121F6D6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MoE 稀疏路线（Kimi K3、DeepSeek‑V3、GLM‑5、Mixtral）</w:t>
      </w:r>
      <w:r>
        <w:rPr>
          <w:rFonts w:ascii="Arial" w:hAnsi="Arial" w:eastAsia="等线" w:cs="Arial"/>
          <w:sz w:val="22"/>
        </w:rPr>
        <w:t>：总参巨大，推理只激活一小部分参数，训练成本高，推理需要集群；重点优化负载均衡（无辅助损失、分位数平衡 QB）、MLA/KDA 降低 KV 缓存。</w:t>
      </w:r>
    </w:p>
    <w:p w14:paraId="04D1616A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Dense 稠密路线（Qwen3.8‑27B、Llama3.3‑70B）</w:t>
      </w:r>
      <w:r>
        <w:rPr>
          <w:rFonts w:ascii="Arial" w:hAnsi="Arial" w:eastAsia="等线" w:cs="Arial"/>
          <w:sz w:val="22"/>
        </w:rPr>
        <w:t>：全部参数参与计算，部署简单；越来越多稠密模型引入</w:t>
      </w:r>
      <w:r>
        <w:rPr>
          <w:rFonts w:ascii="Arial" w:hAnsi="Arial" w:eastAsia="等线" w:cs="Arial"/>
          <w:b/>
          <w:sz w:val="22"/>
        </w:rPr>
        <w:t>混合注意力（线性注意力 + 周期性全注意力）</w:t>
      </w:r>
      <w:r>
        <w:rPr>
          <w:rFonts w:ascii="Arial" w:hAnsi="Arial" w:eastAsia="等线" w:cs="Arial"/>
          <w:sz w:val="22"/>
        </w:rPr>
        <w:t>，在不使用 MoE 的前提下压低长序列开销。</w:t>
      </w:r>
    </w:p>
    <w:p w14:paraId="6FE132D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注意力创新</w:t>
      </w:r>
      <w:r>
        <w:rPr>
          <w:rFonts w:ascii="Arial" w:hAnsi="Arial" w:eastAsia="等线" w:cs="Arial"/>
          <w:sz w:val="22"/>
        </w:rPr>
        <w:t>：</w:t>
      </w:r>
    </w:p>
    <w:p w14:paraId="3CB5168A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MLA：压缩 KV，降低 KV‑Cache（DeepSeek‑V3、GLM‑5、Kimi K3）</w:t>
      </w:r>
    </w:p>
    <w:p w14:paraId="61490924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KDA / Gated DeltaNet：SSM 式线性循环注意力，大幅降低超长上下文计算量；周期性插入全注意力弥补复杂依赖。</w:t>
      </w:r>
    </w:p>
    <w:p w14:paraId="26BB4E2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多模态路线</w:t>
      </w:r>
      <w:r>
        <w:rPr>
          <w:rFonts w:ascii="Arial" w:hAnsi="Arial" w:eastAsia="等线" w:cs="Arial"/>
          <w:sz w:val="22"/>
        </w:rPr>
        <w:t>：Kimi K3、Qwen3.8‑27B 采用</w:t>
      </w:r>
      <w:r>
        <w:rPr>
          <w:rFonts w:ascii="Arial" w:hAnsi="Arial" w:eastAsia="等线" w:cs="Arial"/>
          <w:b/>
          <w:sz w:val="22"/>
        </w:rPr>
        <w:t>从头训练视觉编码器</w:t>
      </w:r>
      <w:r>
        <w:rPr>
          <w:rFonts w:ascii="Arial" w:hAnsi="Arial" w:eastAsia="等线" w:cs="Arial"/>
          <w:sz w:val="22"/>
        </w:rPr>
        <w:t>，而不是加载外部预训练视觉模型做适配器嫁接，提升多模态联合优化稳定性。</w:t>
      </w:r>
    </w:p>
    <w:p w14:paraId="7B195F1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训练侧：MTP 多 Token 预测已经被多个模型采纳，既提升基座预训练效果，又可以复用做投机解码加速生成。</w:t>
      </w:r>
    </w:p>
    <w:p w14:paraId="04944E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如果你需要，我可以进一步把这份报告压缩成适合作业直接提交的精简版。</w:t>
      </w:r>
    </w:p>
    <w:p w14:paraId="5620F1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1112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59B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39A0D9AC"/>
    <w:multiLevelType w:val="singleLevel"/>
    <w:tmpl w:val="39A0D9A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5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4D4DC07F"/>
    <w:multiLevelType w:val="singleLevel"/>
    <w:tmpl w:val="4D4DC07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7">
    <w:nsid w:val="4D94DA66"/>
    <w:multiLevelType w:val="singleLevel"/>
    <w:tmpl w:val="4D94DA6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60382F6E"/>
    <w:multiLevelType w:val="singleLevel"/>
    <w:tmpl w:val="60382F6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2183CF9"/>
    <w:multiLevelType w:val="singleLevel"/>
    <w:tmpl w:val="72183CF9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46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5"/>
  </w:num>
  <w:num w:numId="9">
    <w:abstractNumId w:val="22"/>
  </w:num>
  <w:num w:numId="10">
    <w:abstractNumId w:val="5"/>
  </w:num>
  <w:num w:numId="11">
    <w:abstractNumId w:val="29"/>
  </w:num>
  <w:num w:numId="12">
    <w:abstractNumId w:val="40"/>
  </w:num>
  <w:num w:numId="13">
    <w:abstractNumId w:val="14"/>
  </w:num>
  <w:num w:numId="14">
    <w:abstractNumId w:val="36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3"/>
  </w:num>
  <w:num w:numId="22">
    <w:abstractNumId w:val="24"/>
  </w:num>
  <w:num w:numId="23">
    <w:abstractNumId w:val="33"/>
  </w:num>
  <w:num w:numId="24">
    <w:abstractNumId w:val="8"/>
  </w:num>
  <w:num w:numId="25">
    <w:abstractNumId w:val="49"/>
  </w:num>
  <w:num w:numId="26">
    <w:abstractNumId w:val="47"/>
  </w:num>
  <w:num w:numId="27">
    <w:abstractNumId w:val="12"/>
  </w:num>
  <w:num w:numId="28">
    <w:abstractNumId w:val="44"/>
  </w:num>
  <w:num w:numId="29">
    <w:abstractNumId w:val="6"/>
  </w:num>
  <w:num w:numId="30">
    <w:abstractNumId w:val="32"/>
  </w:num>
  <w:num w:numId="31">
    <w:abstractNumId w:val="2"/>
  </w:num>
  <w:num w:numId="32">
    <w:abstractNumId w:val="38"/>
  </w:num>
  <w:num w:numId="33">
    <w:abstractNumId w:val="50"/>
  </w:num>
  <w:num w:numId="34">
    <w:abstractNumId w:val="0"/>
  </w:num>
  <w:num w:numId="35">
    <w:abstractNumId w:val="26"/>
  </w:num>
  <w:num w:numId="36">
    <w:abstractNumId w:val="37"/>
  </w:num>
  <w:num w:numId="37">
    <w:abstractNumId w:val="20"/>
  </w:num>
  <w:num w:numId="38">
    <w:abstractNumId w:val="18"/>
  </w:num>
  <w:num w:numId="39">
    <w:abstractNumId w:val="30"/>
  </w:num>
  <w:num w:numId="40">
    <w:abstractNumId w:val="48"/>
  </w:num>
  <w:num w:numId="41">
    <w:abstractNumId w:val="11"/>
  </w:num>
  <w:num w:numId="42">
    <w:abstractNumId w:val="4"/>
  </w:num>
  <w:num w:numId="43">
    <w:abstractNumId w:val="10"/>
  </w:num>
  <w:num w:numId="44">
    <w:abstractNumId w:val="41"/>
  </w:num>
  <w:num w:numId="45">
    <w:abstractNumId w:val="1"/>
  </w:num>
  <w:num w:numId="46">
    <w:abstractNumId w:val="25"/>
  </w:num>
  <w:num w:numId="47">
    <w:abstractNumId w:val="3"/>
  </w:num>
  <w:num w:numId="48">
    <w:abstractNumId w:val="42"/>
  </w:num>
  <w:num w:numId="49">
    <w:abstractNumId w:val="46"/>
  </w:num>
  <w:num w:numId="50">
    <w:abstractNumId w:val="35"/>
  </w:num>
  <w:num w:numId="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C64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1652</Words>
  <Characters>2640</Characters>
  <TotalTime>0</TotalTime>
  <ScaleCrop>false</ScaleCrop>
  <LinksUpToDate>false</LinksUpToDate>
  <CharactersWithSpaces>2884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2026-08-20T13:23:00Z</dcterms:created>
  <dc:creator>Apache POI</dc:creator>
  <cp:lastModifiedBy>Here Without You</cp:lastModifiedBy>
  <dcterms:modified xsi:type="dcterms:W3CDTF">2026-08-20T13:24:16Z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{"Label":"1","ContentProducer":"001191110102MACQD9K64010000","ProduceID":"7676103845248125916","ReservedCode1":"","ContentPropagator":"","PropagateID":"","ReservedCode2":""}</vt:lpwstr>
  </property>
  <property fmtid="{D5CDD505-2E9C-101B-9397-08002B2CF9AE}" pid="3" name="KSOProductBuildVer">
    <vt:lpwstr>2052-12.1.0.28043</vt:lpwstr>
  </property>
  <property fmtid="{D5CDD505-2E9C-101B-9397-08002B2CF9AE}" pid="4" name="ICV">
    <vt:lpwstr>BC412EE565494ECA890CC66840B74F78_13</vt:lpwstr>
  </property>
</Properties>
</file>