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5.jpeg" ContentType="image/jpeg"/>
  <Override PartName="/word/media/image14.jpeg" ContentType="image/jpeg"/>
  <Override PartName="/word/media/image12.jpeg" ContentType="image/jpe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16.jpeg" ContentType="image/jpe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3.jpeg" ContentType="image/jpeg"/>
  <Override PartName="/word/media/image10.png" ContentType="image/png"/>
  <Override PartName="/word/media/image9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ascii="Spectral" w:hAnsi="Spectral" w:eastAsia="Spectral" w:cs="Spectral"/>
          <w:sz w:val="72"/>
          <w:szCs w:val="72"/>
        </w:rPr>
      </w:pPr>
      <w:r>
        <w:rPr>
          <w:rFonts w:eastAsia="Spectral" w:cs="Spectral" w:ascii="Spectral" w:hAnsi="Spectral"/>
          <w:sz w:val="72"/>
          <w:szCs w:val="72"/>
        </w:rPr>
        <w:t>Hybrid Rocket Engine</w:t>
      </w:r>
    </w:p>
    <w:p>
      <w:pPr>
        <w:pStyle w:val="Normal"/>
        <w:jc w:val="center"/>
        <w:rPr>
          <w:rFonts w:ascii="Spectral" w:hAnsi="Spectral" w:eastAsia="Spectral" w:cs="Spectral"/>
          <w:sz w:val="72"/>
          <w:szCs w:val="72"/>
        </w:rPr>
      </w:pPr>
      <w:r>
        <w:rPr>
          <w:rFonts w:eastAsia="Spectral" w:cs="Spectral" w:ascii="Spectral" w:hAnsi="Spectral"/>
          <w:sz w:val="72"/>
          <w:szCs w:val="72"/>
        </w:rPr>
        <w:t>Analysis Toolkit Manual</w:t>
      </w:r>
    </w:p>
    <w:p>
      <w:pPr>
        <w:pStyle w:val="Normal"/>
        <w:jc w:val="left"/>
        <w:rPr>
          <w:rFonts w:ascii="Spectral" w:hAnsi="Spectral" w:eastAsia="Spectral" w:cs="Spectral"/>
        </w:rPr>
      </w:pPr>
      <w:r>
        <w:rPr>
          <w:rFonts w:eastAsia="Spectral" w:cs="Spectral" w:ascii="Spectral" w:hAnsi="Spectral"/>
        </w:rPr>
      </w:r>
    </w:p>
    <w:p>
      <w:pPr>
        <w:pStyle w:val="Normal"/>
        <w:jc w:val="center"/>
        <w:rPr>
          <w:rFonts w:ascii="Spectral" w:hAnsi="Spectral" w:eastAsia="Spectral" w:cs="Spectral"/>
        </w:rPr>
      </w:pPr>
      <w:r>
        <w:rPr>
          <w:rFonts w:eastAsia="Spectral" w:cs="Spectral" w:ascii="Spectral" w:hAnsi="Spectral"/>
        </w:rPr>
        <w:t>Akshay, Daniel, Mahdi, Shane</w:t>
      </w:r>
    </w:p>
    <w:p>
      <w:pPr>
        <w:pStyle w:val="Normal"/>
        <w:jc w:val="center"/>
        <w:rPr>
          <w:rFonts w:ascii="Spectral" w:hAnsi="Spectral" w:eastAsia="Spectral" w:cs="Spectral"/>
        </w:rPr>
      </w:pPr>
      <w:r>
        <w:rPr>
          <w:rFonts w:eastAsia="Spectral" w:cs="Spectral" w:ascii="Spectral" w:hAnsi="Spectral"/>
        </w:rPr>
        <w:t>ME Senior Design Spring 2019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/>
        <mc:AlternateContent>
          <mc:Choice Requires="wps">
            <w:drawing>
              <wp:inline distT="0" distB="0" distL="114300" distR="114300">
                <wp:extent cx="1270" cy="19685"/>
                <wp:effectExtent l="0" t="0" r="0" b="0"/>
                <wp:docPr id="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0" name="Rectangle 1"/>
                        <wps:cNvSpPr/>
                      </wps:nvSpPr>
                      <wps:spPr>
                        <a:xfrm>
                          <a:off x="0" y="0"/>
                          <a:ext cx="72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shape_0" fillcolor="#a0a0a0" stroked="f" style="position:absolute;margin-left:0pt;margin-top:0pt;width:0pt;height:1.45pt">
                <w10:wrap type="none"/>
                <v:fill o:detectmouseclick="t" type="solid" color2="#5f5f5f"/>
                <v:stroke color="#3465a4" joinstyle="round" endcap="flat"/>
              </v:rect>
            </w:pict>
          </mc:Fallback>
        </mc:AlternateContent>
      </w:r>
    </w:p>
    <w:p>
      <w:pPr>
        <w:pStyle w:val="Normal"/>
        <w:rPr/>
      </w:pPr>
      <w:r>
        <w:rPr/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Normal"/>
            <w:tabs>
              <w:tab w:val="right" w:pos="9360" w:leader="none"/>
            </w:tabs>
            <w:spacing w:lineRule="auto" w:line="240" w:before="80" w:after="0"/>
            <w:ind w:left="0" w:hanging="0"/>
            <w:rPr>
              <w:rFonts w:ascii="Times New Roman" w:hAnsi="Times New Roman" w:eastAsia="Times New Roman" w:cs="Times New Roman"/>
              <w:b/>
              <w:b/>
              <w:i w:val="false"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FFFFFF" w:val="clear"/>
              <w:vertAlign w:val="baseline"/>
            </w:rPr>
          </w:pPr>
          <w:r>
            <w:fldChar w:fldCharType="begin"/>
          </w:r>
          <w:r>
            <w:instrText> TOC \z \o "1-9" \u \h</w:instrText>
          </w:r>
          <w:r>
            <w:fldChar w:fldCharType="separate"/>
          </w:r>
          <w:hyperlink w:anchor="_6s8aznqdglj7">
            <w:r>
              <w:rPr>
                <w:webHidden/>
                <w:rStyle w:val="IndexLink"/>
                <w:rFonts w:eastAsia="Times New Roman" w:cs="Times New Roman" w:ascii="Times New Roman" w:hAnsi="Times New Roman"/>
                <w:b/>
                <w:i w:val="false"/>
                <w:caps w:val="false"/>
                <w:smallCaps w:val="false"/>
                <w:strike w:val="false"/>
                <w:dstrike w:val="false"/>
                <w:color w:val="000000"/>
                <w:position w:val="0"/>
                <w:sz w:val="22"/>
                <w:sz w:val="22"/>
                <w:szCs w:val="22"/>
                <w:u w:val="none"/>
                <w:shd w:fill="FFFFFF" w:val="clear"/>
                <w:vertAlign w:val="baseline"/>
              </w:rPr>
              <w:t>1. Fuel Grain Regression Simulator</w:t>
            </w:r>
          </w:hyperlink>
          <w:r>
            <w:rPr>
              <w:rFonts w:eastAsia="Times New Roman" w:cs="Times New Roman" w:ascii="Times New Roman" w:hAnsi="Times New Roman"/>
              <w:b/>
              <w:i w:val="false"/>
              <w:caps w:val="false"/>
              <w:smallCaps w:val="false"/>
              <w:strike w:val="false"/>
              <w:dstrike w:val="false"/>
              <w:color w:val="000000"/>
              <w:position w:val="0"/>
              <w:sz w:val="22"/>
              <w:sz w:val="22"/>
              <w:szCs w:val="22"/>
              <w:u w:val="none"/>
              <w:shd w:fill="FFFFFF" w:val="clear"/>
              <w:vertAlign w:val="baseline"/>
            </w:rPr>
            <w:tab/>
            <w:t>1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200" w:after="0"/>
            <w:ind w:left="0" w:hanging="0"/>
            <w:rPr>
              <w:rFonts w:ascii="Times New Roman" w:hAnsi="Times New Roman" w:eastAsia="Times New Roman" w:cs="Times New Roman"/>
            </w:rPr>
          </w:pPr>
          <w:hyperlink w:anchor="_tbqt2a7f119r">
            <w:r>
              <w:rPr>
                <w:webHidden/>
                <w:rStyle w:val="IndexLink"/>
                <w:rFonts w:eastAsia="Times New Roman" w:cs="Times New Roman" w:ascii="Times New Roman" w:hAnsi="Times New Roman"/>
                <w:b/>
              </w:rPr>
              <w:t>2. Example usage for nozzle sizing calculator:</w:t>
            </w:r>
          </w:hyperlink>
          <w:r>
            <w:rPr>
              <w:rFonts w:eastAsia="Times New Roman" w:cs="Times New Roman" w:ascii="Times New Roman" w:hAnsi="Times New Roman"/>
              <w:b/>
            </w:rPr>
            <w:tab/>
            <w:t>2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200" w:after="0"/>
            <w:ind w:left="0" w:hanging="0"/>
            <w:rPr>
              <w:rFonts w:ascii="Times New Roman" w:hAnsi="Times New Roman" w:eastAsia="Times New Roman" w:cs="Times New Roman"/>
            </w:rPr>
          </w:pPr>
          <w:hyperlink w:anchor="_3vrb3rkymrb8">
            <w:r>
              <w:rPr>
                <w:webHidden/>
                <w:rStyle w:val="IndexLink"/>
                <w:rFonts w:eastAsia="Times New Roman" w:cs="Times New Roman" w:ascii="Times New Roman" w:hAnsi="Times New Roman"/>
                <w:b/>
              </w:rPr>
              <w:t>3. Example chamber sizing calculator:</w:t>
            </w:r>
          </w:hyperlink>
          <w:r>
            <w:rPr>
              <w:rFonts w:eastAsia="Times New Roman" w:cs="Times New Roman" w:ascii="Times New Roman" w:hAnsi="Times New Roman"/>
              <w:b/>
            </w:rPr>
            <w:tab/>
            <w:t>2</w:t>
          </w:r>
        </w:p>
        <w:p>
          <w:pPr>
            <w:pStyle w:val="Normal"/>
            <w:tabs>
              <w:tab w:val="right" w:pos="9360" w:leader="none"/>
            </w:tabs>
            <w:spacing w:lineRule="auto" w:line="240" w:before="200" w:after="80"/>
            <w:ind w:left="0" w:hanging="0"/>
            <w:rPr/>
          </w:pPr>
          <w:hyperlink w:anchor="_ewxuy68knwew">
            <w:r>
              <w:rPr>
                <w:webHidden/>
                <w:rStyle w:val="IndexLink"/>
                <w:rFonts w:eastAsia="Times New Roman" w:cs="Times New Roman" w:ascii="Times New Roman" w:hAnsi="Times New Roman"/>
                <w:b/>
              </w:rPr>
              <w:t>4. Example using bolt calculator:</w:t>
            </w:r>
          </w:hyperlink>
          <w:r>
            <w:rPr>
              <w:rFonts w:eastAsia="Times New Roman" w:cs="Times New Roman" w:ascii="Times New Roman" w:hAnsi="Times New Roman"/>
              <w:b/>
            </w:rPr>
            <w:tab/>
            <w:t>3</w:t>
          </w:r>
          <w:r>
            <w:fldChar w:fldCharType="end"/>
          </w:r>
        </w:p>
      </w:sdtContent>
    </w:sdt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/>
        <mc:AlternateContent>
          <mc:Choice Requires="wps">
            <w:drawing>
              <wp:inline distT="0" distB="0" distL="114300" distR="114300">
                <wp:extent cx="1270" cy="19685"/>
                <wp:effectExtent l="0" t="0" r="0" b="0"/>
                <wp:docPr id="2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nvSpPr>
                        <wps:cNvPr id="1" name="Rectangle 1"/>
                        <wps:cNvSpPr/>
                      </wps:nvSpPr>
                      <wps:spPr>
                        <a:xfrm>
                          <a:off x="0" y="0"/>
                          <a:ext cx="720" cy="1908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>
                          <a:noFill/>
                        </a:ln>
                      </wps:spPr>
                      <wps:bodyPr/>
                    </wps:wsp>
                  </a:graphicData>
                </a:graphic>
              </wp:inline>
            </w:drawing>
          </mc:Choice>
          <mc:Fallback>
            <w:pict>
              <v:rect id="shape_0" fillcolor="#a0a0a0" stroked="f" style="position:absolute;margin-left:0pt;margin-top:0pt;width:0pt;height:1.45pt">
                <w10:wrap type="none"/>
                <v:fill o:detectmouseclick="t" type="solid" color2="#5f5f5f"/>
                <v:stroke color="#3465a4" joinstyle="round" endcap="flat"/>
              </v:rect>
            </w:pict>
          </mc:Fallback>
        </mc:AlternateConten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Heading1"/>
        <w:rPr/>
      </w:pPr>
      <w:bookmarkStart w:id="0" w:name="_6s8aznqdglj7"/>
      <w:bookmarkEnd w:id="0"/>
      <w:r>
        <w:rPr/>
        <w:t>1. Fuel Grain Regression Simulator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This calculator approximates how a given cross-section of a fuel grain, which is typically a hollow cylinder whose inner channel has some complex shape (see Fig. 1), will change over time as it is burnt away during combustion. It's pretty simple: each side of the inner channel is burnt away at a regression rate (assumed constant for this calculator), which changes the perimeter of the cross-section. This changes the amount of fuel available for oxidizer to burn (the fuel/oxidizer ratio), which changes engine pressure and other things, so, ideally, this perimeter should be constant. Achieving this is kinda tricky---that's what this calculator is for.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3995420" cy="2244725"/>
            <wp:effectExtent l="0" t="0" r="0" b="0"/>
            <wp:docPr id="3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420" cy="224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eastAsia="Times New Roman" w:cs="Times New Roman" w:ascii="Times New Roman" w:hAnsi="Times New Roman"/>
          <w:sz w:val="18"/>
          <w:szCs w:val="18"/>
        </w:rPr>
        <w:t xml:space="preserve">Figure 1: The combustion chamber of LRA's proposed Taurus II hybrid rocket engine. N2O fuel enters at high pressure on the left, is forced through the injector plate (white) to become a gas, reacts and combusts with the fuel grain (yellow) by flowing through its inside (see the 5-pointed rounded star hole through the middle), burning it away. The gases continue to react in the post-combustion chamber (red) before exiting the nozzle (gold) to atmosphere. The exterior aluminum casing is hidden for clarity. 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The initial plans for LRA's Taurus II hybrid engine, which this set of tools was designed to optimize (although they are applicable to multiple engines), called for a fuel grain with the 5-pointed rounded star shown in Fig. 2. The entire fuel grain has a 4" cylindrical outer diameter.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2348230" cy="2348230"/>
            <wp:effectExtent l="0" t="0" r="0" b="0"/>
            <wp:docPr id="4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8230" cy="234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eastAsia="Times New Roman" w:cs="Times New Roman" w:ascii="Times New Roman" w:hAnsi="Times New Roman"/>
          <w:sz w:val="18"/>
          <w:szCs w:val="18"/>
        </w:rPr>
        <w:t>Figure 2: The original fuel grain interior channel design for LRA's Taurus II hybrid rocket engine. The black outer square of this image represents a 4"x4" square, because the fuel grain has a 4" cylindrical outer diameter. Imagine the fuel grain is circumscribed in the square and the four corners are just filled in afterward (which is necessary for this software to work right).</w:t>
      </w:r>
    </w:p>
    <w:p>
      <w:pPr>
        <w:pStyle w:val="Normal"/>
        <w:rPr>
          <w:rFonts w:ascii="Times New Roman" w:hAnsi="Times New Roman" w:eastAsia="Times New Roman" w:cs="Times New Roman"/>
          <w:sz w:val="18"/>
          <w:szCs w:val="18"/>
        </w:rPr>
      </w:pPr>
      <w:r>
        <w:rPr>
          <w:rFonts w:eastAsia="Times New Roman" w:cs="Times New Roman" w:ascii="Times New Roman" w:hAnsi="Times New Roman"/>
          <w:sz w:val="18"/>
          <w:szCs w:val="18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For the Taurus II rocket engine, some rough calculations estimated the HTPB regression rate to be ~1.8 mm/s (0.071 in/s) based on the 365 kg/s-m^2 oxidizer mass flux. Typical rates for HTBP are 1-3 mm/s.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/>
      </w:pPr>
      <w:r>
        <w:rPr>
          <w:rFonts w:eastAsia="Times New Roman" w:cs="Times New Roman" w:ascii="Times New Roman" w:hAnsi="Times New Roman"/>
        </w:rPr>
        <w:t xml:space="preserve">Enter these parameters into the given Python script, </w:t>
      </w:r>
      <w:r>
        <w:rPr>
          <w:rFonts w:eastAsia="Times New Roman" w:cs="Times New Roman" w:ascii="Times New Roman" w:hAnsi="Times New Roman"/>
        </w:rPr>
        <w:t>near the end. Run the script by putting an image in the same folder as the script, then executing “python3 regression.py nameofimage.png”.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"/>
        <w:rPr/>
      </w:pPr>
      <w:r>
        <w:rPr>
          <w:rFonts w:eastAsia="Times New Roman" w:cs="Times New Roman" w:ascii="Times New Roman" w:hAnsi="Times New Roman"/>
        </w:rPr>
        <w:t>In order to interate through designs very quickly, you can install a drawing program like Krita (</w:t>
      </w:r>
      <w:hyperlink r:id="rId4">
        <w:r>
          <w:rPr>
            <w:webHidden/>
            <w:rStyle w:val="InternetLink"/>
            <w:rFonts w:eastAsia="Times New Roman" w:cs="Times New Roman" w:ascii="Times New Roman" w:hAnsi="Times New Roman"/>
          </w:rPr>
          <w:t>https://krita.org/en/</w:t>
        </w:r>
      </w:hyperlink>
      <w:r>
        <w:rPr>
          <w:rFonts w:eastAsia="Times New Roman" w:cs="Times New Roman" w:ascii="Times New Roman" w:hAnsi="Times New Roman"/>
        </w:rPr>
        <w:t xml:space="preserve">). Open the image file in Krita, and, using Krita’s multibrush tool (turn on “snowflake” symmetry in tool options), draw to change the cross-section image in a rotationally symmetric way. Save the image in Krita, then run the Python script to see a result. To iterate, </w:t>
      </w:r>
      <w:r>
        <w:rPr>
          <w:rFonts w:eastAsia="Times New Roman" w:cs="Times New Roman" w:ascii="Times New Roman" w:hAnsi="Times New Roman"/>
          <w:i/>
          <w:iCs/>
        </w:rPr>
        <w:t>do not close the Python graph window yet.</w:t>
      </w:r>
      <w:r>
        <w:rPr>
          <w:rFonts w:eastAsia="Times New Roman" w:cs="Times New Roman" w:ascii="Times New Roman" w:hAnsi="Times New Roman"/>
          <w:i w:val="false"/>
          <w:iCs w:val="false"/>
        </w:rPr>
        <w:t xml:space="preserve"> Instead, edit your design in Krita again, then close the Python graph window; it detects that the file has changed and, instead of closing, will reopen with the new results (if you close the window without changing the file, it will stay closed).</w:t>
      </w:r>
    </w:p>
    <w:p>
      <w:pPr>
        <w:pStyle w:val="Normal"/>
        <w:rPr>
          <w:rFonts w:ascii="Times New Roman" w:hAnsi="Times New Roman" w:eastAsia="Times New Roman" w:cs="Times New Roman"/>
          <w:i w:val="false"/>
          <w:i w:val="false"/>
          <w:iCs w:val="false"/>
        </w:rPr>
      </w:pPr>
      <w:r>
        <w:rPr/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i w:val="false"/>
          <w:iCs w:val="false"/>
        </w:rPr>
        <w:t>Finally, to bring the design into SolidWorks, insert the image as a Sketch Picture (with a sketch open, Tools &gt; Sketch Tools &gt; Sketch Picture) and trace it with spline(s). If you want symmetry (on, say, a star shape with 5 lobes), you might trace half of one lobe, extrude it, then mirror it to make one full lobe. Circular pattern this for the entire cross-section (or, if SolidWorks complains of bad geometry, make a circular pattern of bodies, one body per lobe, then combine the bodies together).</w:t>
      </w:r>
    </w:p>
    <w:p>
      <w:pPr>
        <w:pStyle w:val="Normal"/>
        <w:rPr>
          <w:rFonts w:ascii="Times New Roman" w:hAnsi="Times New Roman" w:eastAsia="Times New Roman" w:cs="Times New Roman"/>
          <w:i w:val="false"/>
          <w:i w:val="false"/>
          <w:iCs w:val="false"/>
        </w:rPr>
      </w:pPr>
      <w:r>
        <w:rPr/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i w:val="false"/>
          <w:iCs w:val="false"/>
        </w:rPr>
        <w:t>Good luck!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/>
      </w:r>
    </w:p>
    <w:p>
      <w:pPr>
        <w:pStyle w:val="Normal"/>
        <w:jc w:val="center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4605655" cy="2361565"/>
            <wp:effectExtent l="0" t="0" r="0" b="0"/>
            <wp:docPr id="5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655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sz w:val="18"/>
          <w:szCs w:val="18"/>
        </w:rPr>
        <w:t>Figure 3: The results of the calculation on the original fuel grain shape.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Heading1"/>
        <w:rPr/>
      </w:pPr>
      <w:bookmarkStart w:id="1" w:name="_tbqt2a7f119r"/>
      <w:bookmarkEnd w:id="1"/>
      <w:r>
        <w:rPr/>
        <w:t>2. Example usage for nozzle sizing calculator:</w:t>
      </w:r>
    </w:p>
    <w:p>
      <w:pPr>
        <w:pStyle w:val="Normal"/>
        <w:spacing w:lineRule="auto" w:line="240"/>
        <w:rPr>
          <w:rFonts w:ascii="Calibri" w:hAnsi="Calibri" w:eastAsia="Calibri" w:cs="Calibri"/>
          <w:u w:val="single"/>
        </w:rPr>
      </w:pPr>
      <w:r>
        <w:rPr>
          <w:rFonts w:eastAsia="Calibri" w:cs="Calibri" w:ascii="Calibri" w:hAnsi="Calibri"/>
          <w:u w:val="single"/>
        </w:rPr>
        <w:t>Prerequisites</w:t>
      </w:r>
    </w:p>
    <w:p>
      <w:pPr>
        <w:pStyle w:val="Normal"/>
        <w:numPr>
          <w:ilvl w:val="0"/>
          <w:numId w:val="3"/>
        </w:numPr>
        <w:spacing w:lineRule="auto" w:line="240"/>
        <w:ind w:left="720" w:hanging="360"/>
        <w:rPr/>
      </w:pPr>
      <w:r>
        <w:rPr>
          <w:rFonts w:eastAsia="Calibri" w:cs="Calibri" w:ascii="Calibri" w:hAnsi="Calibri"/>
          <w:u w:val="single"/>
        </w:rPr>
        <w:t xml:space="preserve">Install rocketcea - </w:t>
      </w:r>
      <w:hyperlink r:id="rId6">
        <w:r>
          <w:rPr>
            <w:webHidden/>
            <w:rStyle w:val="InternetLink"/>
            <w:rFonts w:eastAsia="Calibri" w:cs="Calibri" w:ascii="Calibri" w:hAnsi="Calibri"/>
            <w:color w:val="0000FF"/>
            <w:u w:val="single"/>
          </w:rPr>
          <w:t>https://rocketcea.readthedocs.io/en/latest/quickstart.html</w:t>
        </w:r>
      </w:hyperlink>
    </w:p>
    <w:p>
      <w:pPr>
        <w:pStyle w:val="Normal"/>
        <w:numPr>
          <w:ilvl w:val="0"/>
          <w:numId w:val="3"/>
        </w:numPr>
        <w:spacing w:lineRule="auto" w:line="240"/>
        <w:ind w:left="720" w:hanging="360"/>
        <w:rPr>
          <w:rFonts w:ascii="Calibri" w:hAnsi="Calibri" w:eastAsia="Calibri" w:cs="Calibri"/>
        </w:rPr>
      </w:pPr>
      <w:r>
        <w:rPr>
          <w:rFonts w:eastAsia="Calibri" w:cs="Calibri" w:ascii="Calibri" w:hAnsi="Calibri"/>
          <w:u w:val="single"/>
        </w:rPr>
        <w:t>Use a Python IDE – Pycharm recommended</w:t>
      </w:r>
    </w:p>
    <w:p>
      <w:pPr>
        <w:pStyle w:val="Normal"/>
        <w:numPr>
          <w:ilvl w:val="0"/>
          <w:numId w:val="3"/>
        </w:numPr>
        <w:spacing w:lineRule="auto" w:line="240"/>
        <w:ind w:left="720" w:hanging="360"/>
        <w:rPr>
          <w:rFonts w:ascii="Calibri" w:hAnsi="Calibri" w:eastAsia="Calibri" w:cs="Calibri"/>
        </w:rPr>
      </w:pPr>
      <w:r>
        <w:rPr>
          <w:rFonts w:eastAsia="Calibri" w:cs="Calibri" w:ascii="Calibri" w:hAnsi="Calibri"/>
          <w:u w:val="single"/>
        </w:rPr>
        <w:t>Ensure familiarity with Python</w:t>
      </w:r>
    </w:p>
    <w:p>
      <w:pPr>
        <w:pStyle w:val="Normal"/>
        <w:spacing w:lineRule="auto" w:line="240"/>
        <w:rPr>
          <w:rFonts w:ascii="Calibri" w:hAnsi="Calibri" w:eastAsia="Calibri" w:cs="Calibri"/>
          <w:u w:val="single"/>
        </w:rPr>
      </w:pPr>
      <w:r>
        <w:rPr>
          <w:rFonts w:eastAsia="Calibri" w:cs="Calibri" w:ascii="Calibri" w:hAnsi="Calibri"/>
          <w:u w:val="single"/>
        </w:rPr>
      </w:r>
    </w:p>
    <w:p>
      <w:pPr>
        <w:pStyle w:val="Normal"/>
        <w:spacing w:lineRule="auto" w:line="240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  <w:t xml:space="preserve">This is an example of how to use the Nozzle Calcs.py calculator. All equations and code are thoroughly commented. </w:t>
      </w:r>
    </w:p>
    <w:p>
      <w:pPr>
        <w:pStyle w:val="Normal"/>
        <w:spacing w:lineRule="auto" w:line="240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"/>
        <w:numPr>
          <w:ilvl w:val="0"/>
          <w:numId w:val="1"/>
        </w:numPr>
        <w:spacing w:lineRule="auto" w:line="240"/>
        <w:ind w:left="720" w:hanging="360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  <w:t>The only variables that need to be changed are as follows:</w:t>
      </w:r>
    </w:p>
    <w:p>
      <w:pPr>
        <w:pStyle w:val="Normal"/>
        <w:spacing w:lineRule="auto" w:line="240"/>
        <w:ind w:left="720" w:hanging="0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4476750" cy="1152525"/>
            <wp:effectExtent l="0" t="0" r="0" b="0"/>
            <wp:docPr id="6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"/>
        </w:numPr>
        <w:spacing w:lineRule="auto" w:line="240"/>
        <w:ind w:left="720" w:hanging="360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  <w:t>Run the program when the parameters have been input.</w:t>
      </w:r>
    </w:p>
    <w:p>
      <w:pPr>
        <w:pStyle w:val="Normal"/>
        <w:spacing w:lineRule="auto" w:line="240"/>
        <w:ind w:left="720" w:hanging="0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5928360" cy="1844040"/>
            <wp:effectExtent l="0" t="0" r="0" b="0"/>
            <wp:docPr id="7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1"/>
        </w:numPr>
        <w:spacing w:lineRule="auto" w:line="240"/>
        <w:ind w:left="720" w:hanging="360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  <w:t>View the outputs:</w:t>
      </w:r>
    </w:p>
    <w:p>
      <w:pPr>
        <w:pStyle w:val="Normal"/>
        <w:spacing w:lineRule="auto" w:line="240"/>
        <w:ind w:left="720" w:hanging="0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5943600" cy="2995295"/>
            <wp:effectExtent l="0" t="0" r="0" b="0"/>
            <wp:docPr id="8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  <w:r>
        <w:br w:type="page"/>
      </w:r>
    </w:p>
    <w:p>
      <w:pPr>
        <w:pStyle w:val="Heading1"/>
        <w:rPr/>
      </w:pPr>
      <w:bookmarkStart w:id="2" w:name="_3vrb3rkymrb8"/>
      <w:bookmarkEnd w:id="2"/>
      <w:r>
        <w:rPr/>
        <w:t>3. Example chamber sizing calculator:</w:t>
      </w:r>
    </w:p>
    <w:p>
      <w:pPr>
        <w:pStyle w:val="Normal"/>
        <w:rPr/>
      </w:pPr>
      <w:r>
        <w:rPr/>
      </w:r>
    </w:p>
    <w:p>
      <w:pPr>
        <w:pStyle w:val="Normal"/>
        <w:spacing w:lineRule="auto" w:line="240"/>
        <w:rPr>
          <w:rFonts w:ascii="Calibri" w:hAnsi="Calibri" w:eastAsia="Calibri" w:cs="Calibri"/>
          <w:b/>
          <w:b/>
          <w:u w:val="single"/>
        </w:rPr>
      </w:pPr>
      <w:bookmarkStart w:id="3" w:name="_gjdgxs"/>
      <w:bookmarkEnd w:id="3"/>
      <w:r>
        <w:rPr>
          <w:rFonts w:eastAsia="Calibri" w:cs="Calibri" w:ascii="Calibri" w:hAnsi="Calibri"/>
          <w:b/>
          <w:u w:val="single"/>
        </w:rPr>
        <w:t>Combustion Chamber.py Example</w:t>
      </w:r>
    </w:p>
    <w:p>
      <w:pPr>
        <w:pStyle w:val="Normal"/>
        <w:spacing w:lineRule="auto" w:line="240"/>
        <w:rPr>
          <w:rFonts w:ascii="Calibri" w:hAnsi="Calibri" w:eastAsia="Calibri" w:cs="Calibri"/>
          <w:b/>
          <w:b/>
          <w:u w:val="single"/>
        </w:rPr>
      </w:pPr>
      <w:r>
        <w:rPr>
          <w:rFonts w:eastAsia="Calibri" w:cs="Calibri" w:ascii="Calibri" w:hAnsi="Calibri"/>
          <w:b/>
          <w:u w:val="single"/>
        </w:rPr>
      </w:r>
    </w:p>
    <w:p>
      <w:pPr>
        <w:pStyle w:val="Normal"/>
        <w:spacing w:lineRule="auto" w:line="240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  <w:t xml:space="preserve">This is an example of how to use the Combustion Chamber.py calculator. All equations and code are thoroughly commented. </w:t>
      </w:r>
    </w:p>
    <w:p>
      <w:pPr>
        <w:pStyle w:val="Normal"/>
        <w:spacing w:lineRule="auto" w:line="240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</w:r>
    </w:p>
    <w:p>
      <w:pPr>
        <w:pStyle w:val="Normal"/>
        <w:numPr>
          <w:ilvl w:val="0"/>
          <w:numId w:val="4"/>
        </w:numPr>
        <w:spacing w:lineRule="auto" w:line="240"/>
        <w:ind w:left="720" w:hanging="360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  <w:t>The only variables that need to be changed are as follows:</w:t>
      </w:r>
    </w:p>
    <w:p>
      <w:pPr>
        <w:pStyle w:val="Normal"/>
        <w:spacing w:lineRule="auto" w:line="240"/>
        <w:ind w:left="720" w:hanging="0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4476750" cy="1152525"/>
            <wp:effectExtent l="0" t="0" r="0" b="0"/>
            <wp:docPr id="9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4"/>
        </w:numPr>
        <w:spacing w:lineRule="auto" w:line="240"/>
        <w:ind w:left="720" w:hanging="360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  <w:t>Adjust the ablative liner and aluminum heat sink thermal properties as required:</w:t>
      </w:r>
    </w:p>
    <w:p>
      <w:pPr>
        <w:pStyle w:val="Normal"/>
        <w:spacing w:lineRule="auto" w:line="240"/>
        <w:ind w:left="720" w:hanging="0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5943600" cy="1363345"/>
            <wp:effectExtent l="0" t="0" r="0" b="0"/>
            <wp:docPr id="10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4"/>
        </w:numPr>
        <w:spacing w:lineRule="auto" w:line="240"/>
        <w:ind w:left="720" w:hanging="360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  <w:t xml:space="preserve">The heat transfer is assumed to only happen into the section of the post-combustion chamber. *Only select the volume and surface area of the post-combustion chamber of the engine casing. </w:t>
      </w:r>
    </w:p>
    <w:p>
      <w:pPr>
        <w:pStyle w:val="Normal"/>
        <w:spacing w:lineRule="auto" w:line="240"/>
        <w:ind w:left="720" w:hanging="0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5943600" cy="1323975"/>
            <wp:effectExtent l="0" t="0" r="0" b="0"/>
            <wp:docPr id="1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4"/>
        </w:numPr>
        <w:spacing w:lineRule="auto" w:line="240"/>
        <w:ind w:left="720" w:hanging="360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  <w:t>Run the program when the parameters have been input.</w:t>
      </w:r>
    </w:p>
    <w:p>
      <w:pPr>
        <w:pStyle w:val="Normal"/>
        <w:spacing w:lineRule="auto" w:line="240"/>
        <w:ind w:left="720" w:hanging="0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5928360" cy="1844040"/>
            <wp:effectExtent l="0" t="0" r="0" b="0"/>
            <wp:docPr id="1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4"/>
        </w:numPr>
        <w:spacing w:lineRule="auto" w:line="240"/>
        <w:ind w:left="720" w:hanging="360"/>
        <w:rPr>
          <w:rFonts w:ascii="Calibri" w:hAnsi="Calibri" w:eastAsia="Calibri" w:cs="Calibri"/>
        </w:rPr>
      </w:pPr>
      <w:r>
        <w:rPr>
          <w:rFonts w:eastAsia="Calibri" w:cs="Calibri" w:ascii="Calibri" w:hAnsi="Calibri"/>
        </w:rPr>
        <w:t>View the outputs:</w:t>
      </w:r>
    </w:p>
    <w:p>
      <w:pPr>
        <w:pStyle w:val="Normal"/>
        <w:spacing w:lineRule="auto" w:line="240"/>
        <w:ind w:left="720" w:hanging="0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5943600" cy="2995295"/>
            <wp:effectExtent l="0" t="0" r="0" b="0"/>
            <wp:docPr id="1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59" w:before="0" w:after="160"/>
        <w:rPr>
          <w:rFonts w:ascii="Calibri" w:hAnsi="Calibri" w:eastAsia="Calibri" w:cs="Calibri"/>
          <w:b/>
          <w:b/>
          <w:u w:val="single"/>
        </w:rPr>
      </w:pPr>
      <w:r>
        <w:rPr>
          <w:rFonts w:eastAsia="Calibri" w:cs="Calibri" w:ascii="Calibri" w:hAnsi="Calibri"/>
          <w:b/>
          <w:u w:val="single"/>
        </w:rPr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https://krita.org/en/</w:t>
      </w:r>
    </w:p>
    <w:p>
      <w:pPr>
        <w:pStyle w:val="Heading1"/>
        <w:rPr/>
      </w:pPr>
      <w:bookmarkStart w:id="4" w:name="_ewxuy68knwew"/>
      <w:bookmarkEnd w:id="4"/>
      <w:r>
        <w:rPr/>
        <w:t>4. Example using bolt calculator: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Assumptions: 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-Units: Customary</w:t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numPr>
          <w:ilvl w:val="0"/>
          <w:numId w:val="2"/>
        </w:numPr>
        <w:ind w:left="720" w:hanging="3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Select a standard bolt: #10-24 Grade 8 Hex Steel Screw from McMaster</w:t>
      </w:r>
    </w:p>
    <w:p>
      <w:pPr>
        <w:pStyle w:val="Normal"/>
        <w:ind w:left="720" w:hanging="0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2952750" cy="1409700"/>
            <wp:effectExtent l="0" t="0" r="0" b="0"/>
            <wp:docPr id="14" name="image7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2"/>
        </w:numPr>
        <w:ind w:left="720" w:hanging="3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Enter geometric parameters into first section (highlighted yellow)</w:t>
      </w:r>
    </w:p>
    <w:p>
      <w:pPr>
        <w:pStyle w:val="Normal"/>
        <w:numPr>
          <w:ilvl w:val="0"/>
          <w:numId w:val="2"/>
        </w:numPr>
        <w:ind w:left="720" w:hanging="3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</w:rPr>
        <w:t>Bolt Geometry</w:t>
      </w:r>
      <w:r>
        <w:rPr>
          <w:rFonts w:eastAsia="Times New Roman" w:cs="Times New Roman" w:ascii="Times New Roman" w:hAnsi="Times New Roman"/>
        </w:rPr>
        <w:t xml:space="preserve">, </w:t>
      </w:r>
      <w:r>
        <w:rPr>
          <w:rFonts w:eastAsia="Times New Roman" w:cs="Times New Roman" w:ascii="Times New Roman" w:hAnsi="Times New Roman"/>
          <w:b/>
        </w:rPr>
        <w:t>Preload</w:t>
      </w:r>
      <w:r>
        <w:rPr>
          <w:rFonts w:eastAsia="Times New Roman" w:cs="Times New Roman" w:ascii="Times New Roman" w:hAnsi="Times New Roman"/>
        </w:rPr>
        <w:t xml:space="preserve">, and </w:t>
      </w:r>
      <w:r>
        <w:rPr>
          <w:rFonts w:eastAsia="Times New Roman" w:cs="Times New Roman" w:ascii="Times New Roman" w:hAnsi="Times New Roman"/>
          <w:b/>
        </w:rPr>
        <w:t>Torque</w:t>
      </w:r>
      <w:r>
        <w:rPr>
          <w:rFonts w:eastAsia="Times New Roman" w:cs="Times New Roman" w:ascii="Times New Roman" w:hAnsi="Times New Roman"/>
        </w:rPr>
        <w:t xml:space="preserve"> sections will be calculated automatically </w:t>
      </w:r>
    </w:p>
    <w:p>
      <w:pPr>
        <w:pStyle w:val="Normal"/>
        <w:numPr>
          <w:ilvl w:val="0"/>
          <w:numId w:val="2"/>
        </w:numPr>
        <w:ind w:left="720" w:hanging="3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Enter stiffness dimensions</w:t>
      </w:r>
    </w:p>
    <w:p>
      <w:pPr>
        <w:pStyle w:val="Normal"/>
        <w:ind w:left="720" w:hanging="0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3076575" cy="1524000"/>
            <wp:effectExtent l="0" t="0" r="0" b="0"/>
            <wp:docPr id="15" name="image5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5.jp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2"/>
        </w:numPr>
        <w:ind w:left="720" w:hanging="3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</w:rPr>
        <w:t>Grip Stiffness</w:t>
      </w:r>
      <w:r>
        <w:rPr>
          <w:rFonts w:eastAsia="Times New Roman" w:cs="Times New Roman" w:ascii="Times New Roman" w:hAnsi="Times New Roman"/>
        </w:rPr>
        <w:t xml:space="preserve"> section will be solved </w:t>
      </w:r>
    </w:p>
    <w:p>
      <w:pPr>
        <w:pStyle w:val="Normal"/>
        <w:numPr>
          <w:ilvl w:val="0"/>
          <w:numId w:val="2"/>
        </w:numPr>
        <w:ind w:left="720" w:hanging="3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  <w:b/>
        </w:rPr>
        <w:t>Joint Constant</w:t>
      </w:r>
      <w:r>
        <w:rPr>
          <w:rFonts w:eastAsia="Times New Roman" w:cs="Times New Roman" w:ascii="Times New Roman" w:hAnsi="Times New Roman"/>
        </w:rPr>
        <w:t xml:space="preserve"> section will be solved</w:t>
      </w:r>
    </w:p>
    <w:p>
      <w:pPr>
        <w:pStyle w:val="Normal"/>
        <w:numPr>
          <w:ilvl w:val="0"/>
          <w:numId w:val="2"/>
        </w:numPr>
        <w:ind w:left="720" w:hanging="3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Enter in Applied Loads from ANSYS Simulations. Stresses will be summed in following section automatically. </w:t>
      </w:r>
    </w:p>
    <w:p>
      <w:pPr>
        <w:pStyle w:val="Normal"/>
        <w:ind w:left="720" w:hanging="0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3362325" cy="1314450"/>
            <wp:effectExtent l="0" t="0" r="0" b="0"/>
            <wp:docPr id="16" name="image11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jp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2"/>
        </w:numPr>
        <w:ind w:left="720" w:hanging="3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Enter in desired Factor of Safety for bolted joint </w:t>
      </w:r>
    </w:p>
    <w:p>
      <w:pPr>
        <w:pStyle w:val="Normal"/>
        <w:ind w:left="720" w:hanging="0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3362325" cy="1343025"/>
            <wp:effectExtent l="0" t="0" r="0" b="0"/>
            <wp:docPr id="17" name="image6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6.jp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2"/>
        </w:numPr>
        <w:ind w:left="720" w:hanging="36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Iterate </w:t>
      </w:r>
      <w:r>
        <w:rPr>
          <w:rFonts w:eastAsia="Times New Roman" w:cs="Times New Roman" w:ascii="Times New Roman" w:hAnsi="Times New Roman"/>
          <w:b/>
        </w:rPr>
        <w:t>Factor of Safety</w:t>
      </w:r>
      <w:r>
        <w:rPr>
          <w:rFonts w:eastAsia="Times New Roman" w:cs="Times New Roman" w:ascii="Times New Roman" w:hAnsi="Times New Roman"/>
        </w:rPr>
        <w:t xml:space="preserve"> value until </w:t>
      </w:r>
      <w:r>
        <w:rPr>
          <w:rFonts w:eastAsia="Times New Roman" w:cs="Times New Roman" w:ascii="Times New Roman" w:hAnsi="Times New Roman"/>
          <w:b/>
        </w:rPr>
        <w:t>Von Mises</w:t>
      </w:r>
      <w:r>
        <w:rPr>
          <w:rFonts w:eastAsia="Times New Roman" w:cs="Times New Roman" w:ascii="Times New Roman" w:hAnsi="Times New Roman"/>
        </w:rPr>
        <w:t xml:space="preserve"> stress value is below the </w:t>
      </w:r>
      <w:r>
        <w:rPr>
          <w:rFonts w:eastAsia="Times New Roman" w:cs="Times New Roman" w:ascii="Times New Roman" w:hAnsi="Times New Roman"/>
          <w:b/>
        </w:rPr>
        <w:t>Force Required to Separate</w:t>
      </w:r>
      <w:r>
        <w:rPr>
          <w:rFonts w:eastAsia="Times New Roman" w:cs="Times New Roman" w:ascii="Times New Roman" w:hAnsi="Times New Roman"/>
        </w:rPr>
        <w:t xml:space="preserve"> from </w:t>
      </w:r>
      <w:r>
        <w:rPr>
          <w:rFonts w:eastAsia="Times New Roman" w:cs="Times New Roman" w:ascii="Times New Roman" w:hAnsi="Times New Roman"/>
          <w:b/>
        </w:rPr>
        <w:t>Joint Constant</w:t>
      </w:r>
      <w:r>
        <w:rPr>
          <w:rFonts w:eastAsia="Times New Roman" w:cs="Times New Roman" w:ascii="Times New Roman" w:hAnsi="Times New Roman"/>
        </w:rPr>
        <w:t xml:space="preserve"> section </w:t>
      </w:r>
    </w:p>
    <w:p>
      <w:pPr>
        <w:pStyle w:val="Normal"/>
        <w:numPr>
          <w:ilvl w:val="0"/>
          <w:numId w:val="2"/>
        </w:numPr>
        <w:ind w:left="720" w:hanging="360"/>
        <w:rPr>
          <w:rFonts w:ascii="Times New Roman" w:hAnsi="Times New Roman" w:eastAsia="Times New Roman" w:cs="Times New Roman"/>
          <w:u w:val="none"/>
        </w:rPr>
      </w:pPr>
      <w:r>
        <w:rPr>
          <w:rFonts w:eastAsia="Times New Roman" w:cs="Times New Roman" w:ascii="Times New Roman" w:hAnsi="Times New Roman"/>
        </w:rPr>
        <w:t>Enter length of thread engagement to validate that FoS for threads are safe</w:t>
      </w:r>
    </w:p>
    <w:p>
      <w:pPr>
        <w:pStyle w:val="Normal"/>
        <w:ind w:left="720" w:hanging="0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3352800" cy="1524000"/>
            <wp:effectExtent l="0" t="0" r="0" b="0"/>
            <wp:docPr id="18" name="image8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8.jp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start="1" w:fmt="decimal"/>
      <w:formProt w:val="false"/>
      <w:textDirection w:val="lrTb"/>
      <w:docGrid w:type="default" w:linePitch="24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Spectral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alibri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  <w:rFonts w:ascii="Times New Roman" w:hAnsi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20"/>
  <w:defaultTabStop w:val="720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spacing w:lineRule="auto" w:line="276"/>
    </w:pPr>
    <w:rPr>
      <w:rFonts w:ascii="Arial" w:hAnsi="Arial" w:eastAsia="Arial" w:cs="Arial"/>
      <w:color w:val="auto"/>
      <w:sz w:val="22"/>
      <w:szCs w:val="22"/>
      <w:lang w:val="en" w:eastAsia="zh-CN" w:bidi="hi-IN"/>
    </w:rPr>
  </w:style>
  <w:style w:type="paragraph" w:styleId="Heading1">
    <w:name w:val="Heading 1"/>
    <w:basedOn w:val="Normal1"/>
    <w:next w:val="Normal"/>
    <w:qFormat/>
    <w:pPr>
      <w:keepNext/>
      <w:keepLines/>
    </w:pPr>
    <w:rPr>
      <w:rFonts w:ascii="Spectral" w:hAnsi="Spectral" w:eastAsia="Spectral" w:cs="Spectral"/>
      <w:sz w:val="28"/>
      <w:szCs w:val="28"/>
    </w:rPr>
  </w:style>
  <w:style w:type="paragraph" w:styleId="Heading2">
    <w:name w:val="Heading 2"/>
    <w:basedOn w:val="Normal1"/>
    <w:next w:val="Normal"/>
    <w:qFormat/>
    <w:pPr>
      <w:keepNext/>
      <w:keepLines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"/>
    <w:qFormat/>
    <w:pPr>
      <w:keepNext/>
      <w:keepLines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"/>
    <w:qFormat/>
    <w:pPr>
      <w:keepNext/>
      <w:keepLines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"/>
    <w:qFormat/>
    <w:pPr>
      <w:keepNext/>
      <w:keepLines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"/>
    <w:qFormat/>
    <w:pPr>
      <w:keepNext/>
      <w:keepLines/>
      <w:spacing w:lineRule="auto" w:line="240" w:before="240" w:after="80"/>
    </w:pPr>
    <w:rPr>
      <w:i/>
      <w:color w:val="666666"/>
      <w:sz w:val="22"/>
      <w:szCs w:val="22"/>
    </w:rPr>
  </w:style>
  <w:style w:type="character" w:styleId="ListLabel1">
    <w:name w:val="ListLabel 1"/>
    <w:qFormat/>
    <w:rPr>
      <w:rFonts w:ascii="Times New Roman" w:hAnsi="Times New Roman"/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  <w:style w:type="paragraph" w:styleId="Normal1" w:default="1">
    <w:name w:val="LO-normal"/>
    <w:qFormat/>
    <w:pPr>
      <w:widowControl/>
      <w:bidi w:val="0"/>
      <w:jc w:val="left"/>
    </w:pPr>
    <w:rPr>
      <w:rFonts w:ascii="Arial" w:hAnsi="Arial" w:eastAsia="Arial" w:cs="Arial"/>
      <w:color w:val="auto"/>
      <w:sz w:val="22"/>
      <w:szCs w:val="22"/>
      <w:lang w:val="en" w:eastAsia="zh-CN" w:bidi="hi-IN"/>
    </w:rPr>
  </w:style>
  <w:style w:type="paragraph" w:styleId="Title">
    <w:name w:val="Title"/>
    <w:basedOn w:val="Normal1"/>
    <w:next w:val="Normal"/>
    <w:qFormat/>
    <w:pPr>
      <w:keepNext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"/>
    <w:qFormat/>
    <w:pPr>
      <w:keepNext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krita.org/en/" TargetMode="External"/><Relationship Id="rId5" Type="http://schemas.openxmlformats.org/officeDocument/2006/relationships/image" Target="media/image3.png"/><Relationship Id="rId6" Type="http://schemas.openxmlformats.org/officeDocument/2006/relationships/hyperlink" Target="https://rocketcea.readthedocs.io/en/latest/quickstart.html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jpeg"/><Relationship Id="rId16" Type="http://schemas.openxmlformats.org/officeDocument/2006/relationships/image" Target="media/image13.jpeg"/><Relationship Id="rId17" Type="http://schemas.openxmlformats.org/officeDocument/2006/relationships/image" Target="media/image14.jpeg"/><Relationship Id="rId18" Type="http://schemas.openxmlformats.org/officeDocument/2006/relationships/image" Target="media/image15.jpeg"/><Relationship Id="rId19" Type="http://schemas.openxmlformats.org/officeDocument/2006/relationships/image" Target="media/image16.jpeg"/><Relationship Id="rId20" Type="http://schemas.openxmlformats.org/officeDocument/2006/relationships/numbering" Target="numbering.xml"/><Relationship Id="rId21" Type="http://schemas.openxmlformats.org/officeDocument/2006/relationships/fontTable" Target="fontTable.xml"/><Relationship Id="rId22" Type="http://schemas.openxmlformats.org/officeDocument/2006/relationships/settings" Target="settings.xml"/><Relationship Id="rId23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</TotalTime>
  <Application>LibreOffice/5.2.7.2$Linux_X86_64 LibreOffice_project/20m0$Build-2</Application>
  <Pages>8</Pages>
  <Words>917</Words>
  <Characters>4747</Characters>
  <CharactersWithSpaces>5604</CharactersWithSpaces>
  <Paragraphs>68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2019-06-01T17:23:14Z</dcterms:modified>
  <cp:revision>4</cp:revision>
  <dc:subject/>
  <dc:title/>
</cp:coreProperties>
</file>