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Do púlpito ao coração</w:t>
      </w:r>
    </w:p>
    <w:p>
      <w:pPr>
        <w:spacing w:after="60"/>
        <w:jc w:val="center"/>
      </w:pPr>
      <w:r>
        <w:rPr>
          <w:rFonts w:ascii="Constantia" w:cs="Constantia" w:eastAsia="Constantia" w:hAnsi="Constantia"/>
          <w:b/>
          <w:bCs/>
          <w:color w:val="9C6F3D"/>
          <w:spacing w:val="80"/>
          <w:sz w:val="13"/>
          <w:szCs w:val="13"/>
        </w:rPr>
        <w:t xml:space="preserve">CARTÃO DO LÍDER DE PG</w:t>
      </w:r>
    </w:p>
    <w:p>
      <w:pPr>
        <w:pBdr>
          <w:bottom w:val="single" w:color="C8955B" w:sz="10" w:space="4"/>
        </w:pBdr>
        <w:spacing w:after="130"/>
      </w:pPr>
    </w:p>
    <w:p>
      <w:pPr>
        <w:spacing w:after="60" w:before="12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4"/>
          <w:szCs w:val="14"/>
        </w:rPr>
        <w:t xml:space="preserve">OS SEIS MOVIMENTOS · 90 MIN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4"/>
        <w:gridCol w:w="3955"/>
        <w:gridCol w:w="923"/>
      </w:tblGrid>
      <w:tr>
        <w:tc>
          <w:tcPr>
            <w:tcW w:type="dxa" w:w="1714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17"/>
                <w:szCs w:val="17"/>
              </w:rPr>
              <w:t xml:space="preserve">1 · Acolher</w:t>
            </w:r>
          </w:p>
        </w:tc>
        <w:tc>
          <w:tcPr>
            <w:tcW w:type="dxa" w:w="3955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Quem está aqui?</w:t>
            </w:r>
          </w:p>
        </w:tc>
        <w:tc>
          <w:tcPr>
            <w:tcW w:type="dxa" w:w="923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714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17"/>
                <w:szCs w:val="17"/>
              </w:rPr>
              <w:t xml:space="preserve">2 · Abrir</w:t>
            </w:r>
          </w:p>
        </w:tc>
        <w:tc>
          <w:tcPr>
            <w:tcW w:type="dxa" w:w="3955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Como vai você?</w:t>
            </w:r>
          </w:p>
        </w:tc>
        <w:tc>
          <w:tcPr>
            <w:tcW w:type="dxa" w:w="923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714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17"/>
                <w:szCs w:val="17"/>
              </w:rPr>
              <w:t xml:space="preserve">3 · Relembrar</w:t>
            </w:r>
          </w:p>
        </w:tc>
        <w:tc>
          <w:tcPr>
            <w:tcW w:type="dxa" w:w="3955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O que o texto disse?</w:t>
            </w:r>
          </w:p>
        </w:tc>
        <w:tc>
          <w:tcPr>
            <w:tcW w:type="dxa" w:w="923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714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17"/>
                <w:szCs w:val="17"/>
              </w:rPr>
              <w:t xml:space="preserve">4 · Descer</w:t>
            </w:r>
          </w:p>
        </w:tc>
        <w:tc>
          <w:tcPr>
            <w:tcW w:type="dxa" w:w="3955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O que o texto encontra em nós?</w:t>
            </w:r>
          </w:p>
        </w:tc>
        <w:tc>
          <w:tcPr>
            <w:tcW w:type="dxa" w:w="923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1714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17"/>
                <w:szCs w:val="17"/>
              </w:rPr>
              <w:t xml:space="preserve">5 · Andar</w:t>
            </w:r>
          </w:p>
        </w:tc>
        <w:tc>
          <w:tcPr>
            <w:tcW w:type="dxa" w:w="3955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O que faremos?</w:t>
            </w:r>
          </w:p>
        </w:tc>
        <w:tc>
          <w:tcPr>
            <w:tcW w:type="dxa" w:w="923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714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17"/>
                <w:szCs w:val="17"/>
              </w:rPr>
              <w:t xml:space="preserve">6 · Orar</w:t>
            </w:r>
          </w:p>
        </w:tc>
        <w:tc>
          <w:tcPr>
            <w:tcW w:type="dxa" w:w="3955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Vamos falar com Deus sobre isso</w:t>
            </w:r>
          </w:p>
        </w:tc>
        <w:tc>
          <w:tcPr>
            <w:tcW w:type="dxa" w:w="923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10</w:t>
            </w:r>
          </w:p>
        </w:tc>
      </w:tr>
    </w:tbl>
    <w:p>
      <w:pPr>
        <w:spacing w:after="110"/>
      </w:pP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c>
          <w:tcPr>
            <w:tcW w:type="dxa" w:w="6591"/>
            <w:tcBorders>
              <w:top w:val="none" w:color="252544" w:sz="0"/>
              <w:left w:val="single" w:color="C8955B" w:sz="20"/>
              <w:bottom w:val="none" w:color="252544" w:sz="0"/>
              <w:right w:val="none" w:color="252544" w:sz="0"/>
            </w:tcBorders>
            <w:shd w:fill="25254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0"/>
              <w:jc w:val="center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existencial → evangelho → prática</w:t>
            </w:r>
          </w:p>
        </w:tc>
      </w:tr>
    </w:tbl>
    <w:p>
      <w:pPr>
        <w:spacing w:after="20" w:line="252" w:lineRule="auto"/>
      </w:pPr>
      <w:r>
        <w:rPr>
          <w:rFonts w:ascii="Cambria" w:cs="Cambria" w:eastAsia="Cambria" w:hAnsi="Cambria"/>
          <w:b w:val="false"/>
          <w:bCs w:val="false"/>
          <w:i/>
          <w:iCs/>
          <w:color w:val="9C6F3D"/>
          <w:sz w:val="16"/>
          <w:szCs w:val="16"/>
        </w:rPr>
        <w:t xml:space="preserve">Se inverter, vira lista de tarefas para conquistar a Deus.</w:t>
      </w:r>
    </w:p>
    <w:p>
      <w:pPr>
        <w:spacing w:after="60" w:before="12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4"/>
          <w:szCs w:val="14"/>
        </w:rPr>
        <w:t xml:space="preserve">AS CINCO PERGUNTAS DO CORAÇÃO</w:t>
      </w:r>
    </w:p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O que você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ama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? → os objetos do desejo</w:t>
      </w:r>
    </w:p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O que te faz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feliz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? → desejos satisfeitos</w:t>
      </w:r>
    </w:p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O que te deixa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triste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? → desejos frustrados</w:t>
      </w:r>
    </w:p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O que te deixa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irritado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? → desejos frustrados</w:t>
      </w:r>
    </w:p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O que você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teme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? → desejos em risco</w:t>
      </w:r>
    </w:p>
    <w:p>
      <w:pPr>
        <w:spacing w:after="70" w:line="252" w:lineRule="auto"/>
      </w:pPr>
      <w:r>
        <w:rPr>
          <w:rFonts w:ascii="Cambria" w:cs="Cambria" w:eastAsia="Cambria" w:hAnsi="Cambria"/>
          <w:b w:val="false"/>
          <w:bCs w:val="false"/>
          <w:i/>
          <w:iCs/>
          <w:color w:val="9C6F3D"/>
          <w:sz w:val="16"/>
          <w:szCs w:val="16"/>
        </w:rPr>
        <w:t xml:space="preserve">As duas últimas são as mais confiáveis: ninguém finge irritação e ninguém escolhe o que teme.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c>
          <w:tcPr>
            <w:tcW w:type="dxa" w:w="6591"/>
            <w:tcBorders>
              <w:top w:val="none" w:color="252544" w:sz="0"/>
              <w:left w:val="single" w:color="C8955B" w:sz="20"/>
              <w:bottom w:val="none" w:color="252544" w:sz="0"/>
              <w:right w:val="none" w:color="252544" w:sz="0"/>
            </w:tcBorders>
            <w:shd w:fill="25254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0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Siga o rastro da emoção. Onde a voz muda, onde os olhos enchem — ali tem coração. Volte ali.</w:t>
            </w:r>
          </w:p>
        </w:tc>
      </w:tr>
    </w:tbl>
    <w:p>
      <w:pPr>
        <w:spacing w:after="60" w:before="12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4"/>
          <w:szCs w:val="14"/>
        </w:rPr>
        <w:t xml:space="preserve">O EVANGELHO, TODA SEMANA</w:t>
      </w:r>
    </w:p>
    <w:p>
      <w:pPr>
        <w:spacing w:after="40" w:line="252" w:lineRule="auto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252544"/>
          <w:sz w:val="20"/>
          <w:szCs w:val="20"/>
        </w:rPr>
        <w:t xml:space="preserve">“O que este texto exige que nenhum de nós cumpriu?”</w:t>
      </w:r>
    </w:p>
    <w:p>
      <w:pPr>
        <w:spacing w:after="40" w:line="252" w:lineRule="auto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252544"/>
          <w:sz w:val="20"/>
          <w:szCs w:val="20"/>
        </w:rPr>
        <w:t xml:space="preserve">“Onde Jesus cumpriu isso em nosso lugar?”</w:t>
      </w:r>
    </w:p>
    <w:p>
      <w:pPr>
        <w:spacing w:after="60" w:before="12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4"/>
          <w:szCs w:val="14"/>
        </w:rPr>
        <w:t xml:space="preserve">A PERGUNTA DE DUAS PORTAS — UMA POR ENCONTRO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91"/>
      </w:tblGrid>
      <w:tr>
        <w:tc>
          <w:tcPr>
            <w:tcW w:type="dxa" w:w="2900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52544"/>
                <w:sz w:val="16"/>
                <w:szCs w:val="16"/>
              </w:rPr>
              <w:t xml:space="preserve">Uma porta só</w:t>
            </w:r>
          </w:p>
        </w:tc>
        <w:tc>
          <w:tcPr>
            <w:tcW w:type="dxa" w:w="3691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6"/>
                <w:szCs w:val="16"/>
              </w:rPr>
              <w:t xml:space="preserve">Duas portas</w:t>
            </w:r>
          </w:p>
        </w:tc>
      </w:tr>
      <w:tr>
        <w:tc>
          <w:tcPr>
            <w:tcW w:type="dxa" w:w="2900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52544"/>
                <w:sz w:val="16"/>
                <w:szCs w:val="16"/>
              </w:rPr>
              <w:t xml:space="preserve">“Como você tem descansado na graça?”</w:t>
            </w:r>
          </w:p>
        </w:tc>
        <w:tc>
          <w:tcPr>
            <w:tcW w:type="dxa" w:w="3691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6"/>
                <w:szCs w:val="16"/>
              </w:rPr>
              <w:t xml:space="preserve">“Quando essa área desanda, pra onde você corre primeiro?”</w:t>
            </w:r>
          </w:p>
        </w:tc>
      </w:tr>
      <w:tr>
        <w:tc>
          <w:tcPr>
            <w:tcW w:type="dxa" w:w="2900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52544"/>
                <w:sz w:val="16"/>
                <w:szCs w:val="16"/>
              </w:rPr>
              <w:t xml:space="preserve">“Que pecado você precisa confessar?”</w:t>
            </w:r>
          </w:p>
        </w:tc>
        <w:tc>
          <w:tcPr>
            <w:tcW w:type="dxa" w:w="3691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6"/>
                <w:szCs w:val="16"/>
              </w:rPr>
              <w:t xml:space="preserve">“O que você mais teme perder?”</w:t>
            </w:r>
          </w:p>
        </w:tc>
      </w:tr>
    </w:tbl>
    <w:p>
      <w:pPr>
        <w:pageBreakBefore/>
        <w:spacing w:after="0"/>
      </w:pPr>
    </w:p>
    <w:p>
      <w:pPr>
        <w:spacing w:after="20"/>
        <w:jc w:val="center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As armadilhas</w:t>
      </w:r>
    </w:p>
    <w:p>
      <w:pPr>
        <w:spacing w:after="60"/>
        <w:jc w:val="center"/>
      </w:pPr>
      <w:r>
        <w:rPr>
          <w:rFonts w:ascii="Constantia" w:cs="Constantia" w:eastAsia="Constantia" w:hAnsi="Constantia"/>
          <w:b/>
          <w:bCs/>
          <w:color w:val="9C6F3D"/>
          <w:spacing w:val="80"/>
          <w:sz w:val="13"/>
          <w:szCs w:val="13"/>
        </w:rPr>
        <w:t xml:space="preserve">VERSO</w:t>
      </w:r>
    </w:p>
    <w:p>
      <w:pPr>
        <w:pBdr>
          <w:bottom w:val="single" w:color="C8955B" w:sz="10" w:space="4"/>
        </w:pBdr>
        <w:spacing w:after="130"/>
      </w:pPr>
    </w:p>
    <w:p>
      <w:pPr>
        <w:spacing w:after="60" w:before="12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4"/>
          <w:szCs w:val="14"/>
        </w:rPr>
        <w:t xml:space="preserve">QUATRO REUNIÕES QUE NÃO SÃO UM PG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1"/>
        <w:gridCol w:w="4350"/>
      </w:tblGrid>
      <w:tr>
        <w:tc>
          <w:tcPr>
            <w:tcW w:type="dxa" w:w="2241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17"/>
                <w:szCs w:val="17"/>
              </w:rPr>
              <w:t xml:space="preserve">A sala de aula</w:t>
            </w:r>
          </w:p>
        </w:tc>
        <w:tc>
          <w:tcPr>
            <w:tcW w:type="dxa" w:w="4350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você fala mais da metade do tempo</w:t>
            </w:r>
          </w:p>
        </w:tc>
      </w:tr>
      <w:tr>
        <w:tc>
          <w:tcPr>
            <w:tcW w:type="dxa" w:w="2241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17"/>
                <w:szCs w:val="17"/>
              </w:rPr>
              <w:t xml:space="preserve">O segundo culto</w:t>
            </w:r>
          </w:p>
        </w:tc>
        <w:tc>
          <w:tcPr>
            <w:tcW w:type="dxa" w:w="4350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você resume o sermão</w:t>
            </w:r>
          </w:p>
        </w:tc>
      </w:tr>
      <w:tr>
        <w:tc>
          <w:tcPr>
            <w:tcW w:type="dxa" w:w="2241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17"/>
                <w:szCs w:val="17"/>
              </w:rPr>
              <w:t xml:space="preserve">O consultório</w:t>
            </w:r>
          </w:p>
        </w:tc>
        <w:tc>
          <w:tcPr>
            <w:tcW w:type="dxa" w:w="4350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você resolve a dor do outro</w:t>
            </w:r>
          </w:p>
        </w:tc>
      </w:tr>
      <w:tr>
        <w:tc>
          <w:tcPr>
            <w:tcW w:type="dxa" w:w="2241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17"/>
                <w:szCs w:val="17"/>
              </w:rPr>
              <w:t xml:space="preserve">O churrasco</w:t>
            </w:r>
          </w:p>
        </w:tc>
        <w:tc>
          <w:tcPr>
            <w:tcW w:type="dxa" w:w="4350"/>
            <w:tcBorders>
              <w:top w:val="single" w:color="E6DFD2" w:sz="2"/>
              <w:left w:val="single" w:color="E6DFD2" w:sz="2"/>
              <w:bottom w:val="single" w:color="E6DFD2" w:sz="2"/>
              <w:right w:val="single" w:color="E6DFD2" w:sz="2"/>
            </w:tcBorders>
            <w:shd w:fill="F4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7"/>
                <w:szCs w:val="17"/>
              </w:rPr>
              <w:t xml:space="preserve">conversa boa, ninguém muda</w:t>
            </w:r>
          </w:p>
        </w:tc>
      </w:tr>
    </w:tbl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/>
          <w:iCs/>
          <w:color w:val="9C6F3D"/>
          <w:sz w:val="16"/>
          <w:szCs w:val="16"/>
        </w:rPr>
        <w:t xml:space="preserve">Duas fogem pela cabeça, duas pelo alívio. Nenhuma chega ao coração.</w:t>
      </w:r>
    </w:p>
    <w:p>
      <w:pPr>
        <w:spacing w:after="60" w:before="12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4"/>
          <w:szCs w:val="14"/>
        </w:rPr>
        <w:t xml:space="preserve">COM VISITANTE NA SALA</w:t>
      </w:r>
    </w:p>
    <w:p>
      <w:pPr>
        <w:spacing w:after="3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Não pressuponha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— jargão: explique ou corte</w:t>
      </w:r>
    </w:p>
    <w:p>
      <w:pPr>
        <w:spacing w:after="3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Não force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— ninguém é obrigado a ler nem a orar</w:t>
      </w:r>
    </w:p>
    <w:p>
      <w:pPr>
        <w:spacing w:after="3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Não exponha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— ele nunca é o exemplo negativo</w:t>
      </w:r>
    </w:p>
    <w:p>
      <w:pPr>
        <w:spacing w:after="3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Não debata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— você tem meses; não precisa vencer hoje</w:t>
      </w:r>
    </w:p>
    <w:p>
      <w:pPr>
        <w:spacing w:after="3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Não esconda o evangelho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— toda semana, com ou sem visitante</w:t>
      </w:r>
    </w:p>
    <w:p>
      <w:pPr>
        <w:spacing w:after="60" w:before="12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4"/>
          <w:szCs w:val="14"/>
        </w:rPr>
        <w:t xml:space="preserve">SE TRAVAR</w:t>
      </w:r>
    </w:p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Ninguém fala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→ conte até dez. Exponha-se você primeiro.</w:t>
      </w:r>
    </w:p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Um domina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→ “ótimo. E os outros? Fulano, como é aí na sua casa?”</w:t>
      </w:r>
    </w:p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Vira debate abstrato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→ “onde isso apareceu na sua semana?”</w:t>
      </w:r>
    </w:p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Resposta pronta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→ “e como tem sido fazer isso nessa situação?”</w:t>
      </w:r>
    </w:p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Alguém chora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→ silêncio, gratidão pela confiança, oração ali.</w:t>
      </w:r>
    </w:p>
    <w:p>
      <w:pPr>
        <w:spacing w:after="4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18"/>
          <w:szCs w:val="18"/>
        </w:rPr>
        <w:t xml:space="preserve">—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Fofoca como pedido de oração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→ “vamos orar por ele. E como você está com isso?”</w:t>
      </w:r>
    </w:p>
    <w:p>
      <w:pPr>
        <w:spacing w:after="60" w:before="12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4"/>
          <w:szCs w:val="14"/>
        </w:rPr>
        <w:t xml:space="preserve">SOBE AO PASTOR HOJE</w:t>
      </w:r>
    </w:p>
    <w:p>
      <w:pPr>
        <w:spacing w:after="80" w:line="25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7"/>
          <w:szCs w:val="17"/>
        </w:rPr>
        <w:t xml:space="preserve">violência · abuso sexual · menção a querer morrer · adultério ou separação · vício sem controle · crime</w:t>
      </w:r>
    </w:p>
    <w:tbl>
      <w:tblPr>
        <w:tblW w:type="dxa" w:w="65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1"/>
      </w:tblGrid>
      <w:tr>
        <w:tc>
          <w:tcPr>
            <w:tcW w:type="dxa" w:w="6591"/>
            <w:tcBorders>
              <w:top w:val="none" w:color="252544" w:sz="0"/>
              <w:left w:val="single" w:color="C8955B" w:sz="20"/>
              <w:bottom w:val="none" w:color="252544" w:sz="0"/>
              <w:right w:val="none" w:color="252544" w:sz="0"/>
            </w:tcBorders>
            <w:shd w:fill="25254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0"/>
              <w:jc w:val="center"/>
            </w:pPr>
            <w:r>
              <w:rPr>
                <w:rFonts w:ascii="Constantia" w:cs="Constantia" w:eastAsia="Constantia" w:hAnsi="Constantia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“Eu vou te ouvir e não vou contar por aí. Se for algo que precisa de mais ajuda do que eu posso dar, eu te ajudo a levar isso ao pastor — mas não vou fazer isso pelas suas costas.”</w:t>
            </w:r>
          </w:p>
        </w:tc>
      </w:tr>
    </w:tbl>
    <w:p>
      <w:pPr>
        <w:spacing w:after="60" w:line="252" w:lineRule="auto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7"/>
          <w:szCs w:val="17"/>
        </w:rPr>
        <w:t xml:space="preserve">Nunca prometa sigilo absoluto antes de ouvir.</w:t>
      </w:r>
    </w:p>
    <w:p>
      <w:pPr>
        <w:spacing w:after="40"/>
      </w:pPr>
    </w:p>
    <w:p>
      <w:pPr>
        <w:pBdr>
          <w:top w:val="single" w:color="C8955B" w:sz="6" w:space="6"/>
        </w:pBdr>
        <w:spacing w:after="20"/>
        <w:jc w:val="center"/>
      </w:pPr>
    </w:p>
    <w:p>
      <w:pPr>
        <w:spacing w:after="20" w:before="40"/>
        <w:jc w:val="center"/>
      </w:pPr>
      <w:r>
        <w:rPr>
          <w:rFonts w:ascii="Cambria" w:cs="Cambria" w:eastAsia="Cambria" w:hAnsi="Cambria"/>
          <w:i/>
          <w:iCs/>
          <w:color w:val="252544"/>
          <w:sz w:val="15"/>
          <w:szCs w:val="15"/>
        </w:rPr>
        <w:t xml:space="preserve">“Como águas profundas, são os propósitos do coração do homem, mas o homem de inteligência sabe descobri-los.” — Pv 20.5</w:t>
      </w:r>
    </w:p>
    <w:p>
      <w:pPr>
        <w:spacing w:after="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14"/>
          <w:szCs w:val="14"/>
        </w:rPr>
        <w:t xml:space="preserve">IPE · Soli Deo Gloria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8391" w:h="11906" w:orient="portrait"/>
      <w:pgMar w:top="900" w:right="900" w:bottom="900" w:left="900" w:header="440" w:footer="4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CARTÃO DO LÍDER DE PG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Cartão de bolso do líder de PG</dc:title>
  <dc:creator>Igreja Presbiteriana Esperança</dc:creator>
  <cp:lastModifiedBy>Un-named</cp:lastModifiedBy>
  <cp:revision>1</cp:revision>
  <dcterms:created xsi:type="dcterms:W3CDTF">2026-09-22T03:32:57.465Z</dcterms:created>
  <dcterms:modified xsi:type="dcterms:W3CDTF">2026-09-22T03:32:57.465Z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