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D95E" w14:textId="04102010" w:rsidR="003D0385" w:rsidRDefault="006E591E">
      <w:pPr>
        <w:rPr>
          <w:rFonts w:ascii="Roboto" w:hAnsi="Roboto"/>
          <w:color w:val="333333"/>
          <w:sz w:val="32"/>
          <w:szCs w:val="32"/>
          <w:shd w:val="clear" w:color="auto" w:fill="FFFFFF"/>
        </w:rPr>
      </w:pPr>
      <w:r>
        <w:rPr>
          <w:rFonts w:ascii="Roboto" w:hAnsi="Roboto"/>
          <w:color w:val="333333"/>
          <w:sz w:val="32"/>
          <w:szCs w:val="32"/>
          <w:shd w:val="clear" w:color="auto" w:fill="FFFFFF"/>
        </w:rPr>
        <w:t>O Brasil já irriga 260.000 ha de todo o seu parque cafeeiro, o que representa quase 10% da cafeicultura nacional. O que chama a atenção é que esta fatia irrigada responde por 25% da produção nacional, mostrando a grande competitividade da cafeicultura irrigada nacional</w:t>
      </w:r>
    </w:p>
    <w:p w14:paraId="79AAB8B0" w14:textId="257C1E97" w:rsidR="006E591E" w:rsidRDefault="006E591E">
      <w:pPr>
        <w:rPr>
          <w:rFonts w:ascii="Roboto" w:hAnsi="Roboto"/>
          <w:color w:val="333333"/>
          <w:sz w:val="32"/>
          <w:szCs w:val="32"/>
          <w:shd w:val="clear" w:color="auto" w:fill="FFFFFF"/>
        </w:rPr>
      </w:pPr>
    </w:p>
    <w:p w14:paraId="25AE5B00" w14:textId="32998BBC" w:rsidR="006E591E" w:rsidRDefault="006E591E">
      <w:pPr>
        <w:rPr>
          <w:rFonts w:ascii="open_sansregular" w:hAnsi="open_sansregular"/>
          <w:color w:val="333333"/>
          <w:sz w:val="26"/>
          <w:szCs w:val="26"/>
          <w:shd w:val="clear" w:color="auto" w:fill="FFFFFF"/>
        </w:rPr>
      </w:pPr>
      <w:r>
        <w:rPr>
          <w:rFonts w:ascii="open_sansregular" w:hAnsi="open_sansregular"/>
          <w:color w:val="333333"/>
          <w:sz w:val="26"/>
          <w:szCs w:val="26"/>
          <w:shd w:val="clear" w:color="auto" w:fill="FFFFFF"/>
        </w:rPr>
        <w:t>A irrigação por gotejamento é um método baseado em aplicar gotas de água diretamente na raiz da planta. Esse mecanismo é possibilitado por meio de gotejadores que ficam dispostos em canos alinhados por toda extensão do sistema.</w:t>
      </w:r>
    </w:p>
    <w:p w14:paraId="47928775" w14:textId="11897B94" w:rsidR="006E591E" w:rsidRDefault="006E591E">
      <w:pPr>
        <w:rPr>
          <w:rFonts w:ascii="open_sansregular" w:hAnsi="open_sansregular"/>
          <w:color w:val="333333"/>
          <w:sz w:val="26"/>
          <w:szCs w:val="26"/>
          <w:shd w:val="clear" w:color="auto" w:fill="FFFFFF"/>
        </w:rPr>
      </w:pPr>
      <w:r>
        <w:rPr>
          <w:rFonts w:ascii="open_sansregular" w:hAnsi="open_sansregular"/>
          <w:color w:val="333333"/>
          <w:sz w:val="26"/>
          <w:szCs w:val="26"/>
          <w:shd w:val="clear" w:color="auto" w:fill="FFFFFF"/>
        </w:rPr>
        <w:t>Ela possui uma eficiência de aproximadamente 90% e dependendo da forma que for implementada e da cultura escolhida, a capacidade de produção pode aumentar em até 2 vezes.</w:t>
      </w:r>
    </w:p>
    <w:p w14:paraId="6256903D" w14:textId="2DE86C32" w:rsidR="006E591E" w:rsidRDefault="006E591E">
      <w:pPr>
        <w:rPr>
          <w:rFonts w:ascii="open_sansregular" w:hAnsi="open_sansregular"/>
          <w:color w:val="333333"/>
          <w:sz w:val="26"/>
          <w:szCs w:val="26"/>
          <w:shd w:val="clear" w:color="auto" w:fill="FFFFFF"/>
        </w:rPr>
      </w:pPr>
    </w:p>
    <w:p w14:paraId="3D47E0CF" w14:textId="77777777" w:rsidR="006E591E" w:rsidRPr="006E591E" w:rsidRDefault="006E591E" w:rsidP="006E591E">
      <w:pPr>
        <w:shd w:val="clear" w:color="auto" w:fill="FFFFFF"/>
        <w:spacing w:before="300" w:after="150" w:line="240" w:lineRule="auto"/>
        <w:outlineLvl w:val="1"/>
        <w:rPr>
          <w:rFonts w:ascii="open_sansregular" w:eastAsia="Times New Roman" w:hAnsi="open_sansregular" w:cs="Times New Roman"/>
          <w:color w:val="333333"/>
          <w:sz w:val="45"/>
          <w:szCs w:val="45"/>
          <w:lang w:eastAsia="pt-BR"/>
        </w:rPr>
      </w:pPr>
      <w:r w:rsidRPr="006E591E">
        <w:rPr>
          <w:rFonts w:ascii="open_sansregular" w:eastAsia="Times New Roman" w:hAnsi="open_sansregular" w:cs="Times New Roman"/>
          <w:b/>
          <w:bCs/>
          <w:color w:val="333333"/>
          <w:sz w:val="45"/>
          <w:szCs w:val="45"/>
          <w:lang w:eastAsia="pt-BR"/>
        </w:rPr>
        <w:t>Quais são as vantagens da irrigação por gotejamento?</w:t>
      </w:r>
    </w:p>
    <w:p w14:paraId="09884124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Economia de nutrientes e fertilizantes devido à proximidade da aplicação;</w:t>
      </w:r>
    </w:p>
    <w:p w14:paraId="4B37B0AF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Diminui desperdício de água;</w:t>
      </w:r>
    </w:p>
    <w:p w14:paraId="328202AA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Reduz a proliferação de ervas daninhas que se beneficiam da aspersão de água;</w:t>
      </w:r>
    </w:p>
    <w:p w14:paraId="40AD0C79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É possível realizar a fertilização junto a irrigação, diluindo o fertilizante na água (fertirrigação);</w:t>
      </w:r>
    </w:p>
    <w:p w14:paraId="49C45A32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Possibilita o uso de água reciclada e não potável, já que não há grande contato da água com o ar;</w:t>
      </w:r>
    </w:p>
    <w:p w14:paraId="0CC4FAA5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Previne doenças causadas pelo contato da água com as folhas da planta;</w:t>
      </w:r>
    </w:p>
    <w:p w14:paraId="7BD0548B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Não necessita de nivelamento do solo;</w:t>
      </w:r>
    </w:p>
    <w:p w14:paraId="02485914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Evita formação de barro;</w:t>
      </w:r>
    </w:p>
    <w:p w14:paraId="2C8DFC0E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Uniformidade na distribuição de água, que pode ser controlada por meio dos gotejadores;</w:t>
      </w:r>
    </w:p>
    <w:p w14:paraId="5E0B69DF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Baixo custo de mão-de-obra e de energia;</w:t>
      </w:r>
    </w:p>
    <w:p w14:paraId="76E9771C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Elevada eficiência de aplicação, como a água é aplicada diretamente na raiz, ocorrem poucas perdas por evaporação;</w:t>
      </w:r>
    </w:p>
    <w:p w14:paraId="758B6AF9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Grande adaptação aos diferentes tipos de solo;</w:t>
      </w:r>
    </w:p>
    <w:p w14:paraId="0093D1C4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Mantém o solo uniformemente úmido e com oxigênio;</w:t>
      </w:r>
    </w:p>
    <w:p w14:paraId="41E2F0B2" w14:textId="77777777" w:rsidR="006E591E" w:rsidRPr="006E591E" w:rsidRDefault="006E591E" w:rsidP="006E5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</w:pPr>
      <w:r w:rsidRPr="006E591E">
        <w:rPr>
          <w:rFonts w:ascii="open_sansregular" w:eastAsia="Times New Roman" w:hAnsi="open_sansregular" w:cs="Times New Roman"/>
          <w:color w:val="333333"/>
          <w:sz w:val="21"/>
          <w:szCs w:val="21"/>
          <w:lang w:eastAsia="pt-BR"/>
        </w:rPr>
        <w:t>O vento e a declividade do terreno não limitam a irrigação</w:t>
      </w:r>
    </w:p>
    <w:p w14:paraId="488B938E" w14:textId="77777777" w:rsidR="006E591E" w:rsidRDefault="006E591E"/>
    <w:sectPr w:rsidR="006E5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3AE"/>
    <w:multiLevelType w:val="multilevel"/>
    <w:tmpl w:val="5D1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A3"/>
    <w:rsid w:val="002246F5"/>
    <w:rsid w:val="002F1DA3"/>
    <w:rsid w:val="003A1799"/>
    <w:rsid w:val="006E591E"/>
    <w:rsid w:val="00B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A405"/>
  <w15:chartTrackingRefBased/>
  <w15:docId w15:val="{B2E50A9A-0EAC-4441-964E-63B70D41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5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59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E5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ARAÚJO TAVARES</dc:creator>
  <cp:keywords/>
  <dc:description/>
  <cp:lastModifiedBy>BRUNO DE ARAÚJO TAVARES</cp:lastModifiedBy>
  <cp:revision>2</cp:revision>
  <dcterms:created xsi:type="dcterms:W3CDTF">2021-09-01T15:49:00Z</dcterms:created>
  <dcterms:modified xsi:type="dcterms:W3CDTF">2021-09-01T16:07:00Z</dcterms:modified>
</cp:coreProperties>
</file>