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Layout w:type="fixed"/>
      </w:tblPr>
      <w:tblGrid>
        <w:gridCol w:w="9360"/>
      </w:tblGrid>
      <w:tr>
        <w:tc>
          <w:tcPr>
            <w:tcW w:type="dxa" w:w="9360"/>
            <w:shd w:val="clear" w:color="auto" w:fill="14323A"/>
            <w:tcBorders>
              <w:top w:val="nil"/>
              <w:left w:val="nil"/>
              <w:bottom w:val="nil"/>
              <w:right w:val="nil"/>
            </w:tcBorders>
            <w:tcMar>
              <w:top w:w="300" w:type="dxa"/>
              <w:left w:w="280" w:type="dxa"/>
              <w:bottom w:w="300" w:type="dxa"/>
              <w:right w:w="280" w:type="dxa"/>
            </w:tcMar>
          </w:tcPr>
          <w:p>
            <w:pPr>
              <w:spacing w:before="0" w:after="80"/>
            </w:pPr>
            <w:r/>
            <w:r>
              <w:rPr>
                <w:rFonts w:ascii="Arial" w:hAnsi="Arial" w:eastAsia="Arial"/>
                <w:b/>
                <w:i w:val="0"/>
                <w:color w:val="C8E6C9"/>
                <w:sz w:val="20"/>
                <w:smallCaps w:val="1"/>
              </w:rPr>
              <w:t>UNITY PARKS</w:t>
            </w:r>
          </w:p>
          <w:p>
            <w:pPr>
              <w:spacing w:before="0" w:after="120"/>
            </w:pPr>
            <w:r>
              <w:rPr>
                <w:rFonts w:ascii="Arial" w:hAnsi="Arial" w:eastAsia="Arial"/>
                <w:b/>
                <w:i w:val="0"/>
                <w:color w:val="FFFFFF"/>
                <w:sz w:val="44"/>
              </w:rPr>
              <w:t>Apaleo Sandbox: Setup and Lessons Learned</w:t>
            </w:r>
          </w:p>
          <w:p>
            <w:pPr>
              <w:spacing w:before="0" w:after="0"/>
            </w:pPr>
            <w:r>
              <w:rPr>
                <w:rFonts w:ascii="Arial" w:hAnsi="Arial" w:eastAsia="Arial"/>
                <w:b w:val="0"/>
                <w:i w:val="0"/>
                <w:color w:val="FFFFFF"/>
                <w:sz w:val="18"/>
              </w:rPr>
              <w:t>Version 1.1   |   Provisioning Notes and Field Guide   |   July 2026</w:t>
            </w:r>
          </w:p>
          <w:p>
            <w:pPr>
              <w:spacing w:before="0" w:after="0"/>
            </w:pPr>
            <w:r>
              <w:rPr>
                <w:rFonts w:ascii="Arial" w:hAnsi="Arial" w:eastAsia="Arial"/>
                <w:b w:val="0"/>
                <w:i w:val="0"/>
                <w:color w:val="FFFFFF"/>
                <w:sz w:val="18"/>
              </w:rPr>
              <w:t>Confidential   |   Unity Parks Internal</w:t>
            </w:r>
          </w:p>
        </w:tc>
      </w:tr>
    </w:tbl>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60" w:type="dxa"/>
              <w:left w:w="200" w:type="dxa"/>
              <w:bottom w:w="160" w:type="dxa"/>
              <w:right w:w="200" w:type="dxa"/>
            </w:tcMar>
          </w:tcPr>
          <w:p>
            <w:pPr>
              <w:spacing w:before="0" w:after="80"/>
            </w:pPr>
            <w:r/>
            <w:r>
              <w:rPr>
                <w:rFonts w:ascii="Arial" w:hAnsi="Arial" w:eastAsia="Arial"/>
                <w:b/>
                <w:i w:val="0"/>
                <w:color w:val="5C4A1A"/>
                <w:sz w:val="22"/>
              </w:rPr>
              <w:t>Purpose of this document</w:t>
            </w:r>
          </w:p>
          <w:p>
            <w:pPr>
              <w:spacing w:before="0" w:after="0"/>
            </w:pPr>
            <w:r>
              <w:rPr>
                <w:rFonts w:ascii="Arial" w:hAnsi="Arial" w:eastAsia="Arial"/>
                <w:b w:val="0"/>
                <w:i w:val="0"/>
                <w:color w:val="5C4A1A"/>
                <w:sz w:val="20"/>
              </w:rPr>
              <w:t>Two things. First, it records exactly what the Unity Parks demo property looks like inside the Apaleo sandbox, as built by the provisioning script, so anyone picking this up knows the data model without reading the code. Second, and more valuable, it captures the hard-won lessons from wiring up Apaleo for the first time: the undocumented required fields, the region and currency limits, the rate limits, and the patterns that actually work. If we ever rebuild this, or brief another developer, this is the map that saves the days we just spent.</w:t>
            </w:r>
          </w:p>
        </w:tc>
      </w:tr>
    </w:tbl>
    <w:p>
      <w:pPr>
        <w:spacing w:before="0" w:after="0"/>
      </w:pPr>
    </w:p>
    <w:p>
      <w:pPr>
        <w:pStyle w:val="Heading1"/>
      </w:pPr>
      <w:r>
        <w:t>Change Log</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0"/>
        <w:gridCol w:w="1100"/>
        <w:gridCol w:w="1600"/>
        <w:gridCol w:w="5760"/>
      </w:tblGrid>
      <w:tr>
        <w:tc>
          <w:tcPr>
            <w:tcW w:type="dxa" w:w="9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Version</w:t>
            </w:r>
          </w:p>
        </w:tc>
        <w:tc>
          <w:tcPr>
            <w:tcW w:type="dxa" w:w="11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Date</w:t>
            </w:r>
          </w:p>
        </w:tc>
        <w:tc>
          <w:tcPr>
            <w:tcW w:type="dxa" w:w="16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Author</w:t>
            </w:r>
          </w:p>
        </w:tc>
        <w:tc>
          <w:tcPr>
            <w:tcW w:type="dxa" w:w="57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Changes</w:t>
            </w:r>
          </w:p>
        </w:tc>
      </w:tr>
      <w:tr>
        <w:tc>
          <w:tcPr>
            <w:tcW w:type="dxa" w:w="900"/>
            <w:shd w:val="clear" w:color="auto" w:fill="FFFFFF"/>
            <w:tcMar>
              <w:top w:w="60" w:type="dxa"/>
              <w:left w:w="110" w:type="dxa"/>
              <w:bottom w:w="60" w:type="dxa"/>
              <w:right w:w="110" w:type="dxa"/>
            </w:tcMar>
          </w:tcPr>
          <w:p>
            <w:pPr>
              <w:spacing w:before="0" w:after="0"/>
            </w:pPr>
            <w:r/>
            <w:r>
              <w:rPr>
                <w:rFonts w:ascii="Arial" w:hAnsi="Arial" w:eastAsia="Arial"/>
                <w:b w:val="0"/>
                <w:i w:val="0"/>
                <w:sz w:val="19"/>
              </w:rPr>
              <w:t>1.0</w:t>
            </w:r>
          </w:p>
        </w:tc>
        <w:tc>
          <w:tcPr>
            <w:tcW w:type="dxa" w:w="1100"/>
            <w:shd w:val="clear" w:color="auto" w:fill="FFFFFF"/>
            <w:tcMar>
              <w:top w:w="60" w:type="dxa"/>
              <w:left w:w="110" w:type="dxa"/>
              <w:bottom w:w="60" w:type="dxa"/>
              <w:right w:w="110" w:type="dxa"/>
            </w:tcMar>
          </w:tcPr>
          <w:p>
            <w:pPr>
              <w:spacing w:before="0" w:after="0"/>
            </w:pPr>
            <w:r/>
            <w:r>
              <w:rPr>
                <w:rFonts w:ascii="Arial" w:hAnsi="Arial" w:eastAsia="Arial"/>
                <w:b w:val="0"/>
                <w:i w:val="0"/>
                <w:sz w:val="19"/>
              </w:rPr>
              <w:t>July 2026</w:t>
            </w:r>
          </w:p>
        </w:tc>
        <w:tc>
          <w:tcPr>
            <w:tcW w:type="dxa" w:w="1600"/>
            <w:shd w:val="clear" w:color="auto" w:fill="FFFFFF"/>
            <w:tcMar>
              <w:top w:w="60" w:type="dxa"/>
              <w:left w:w="110" w:type="dxa"/>
              <w:bottom w:w="60" w:type="dxa"/>
              <w:right w:w="110" w:type="dxa"/>
            </w:tcMar>
          </w:tcPr>
          <w:p>
            <w:pPr>
              <w:spacing w:before="0" w:after="0"/>
            </w:pPr>
            <w:r/>
            <w:r>
              <w:rPr>
                <w:rFonts w:ascii="Arial" w:hAnsi="Arial" w:eastAsia="Arial"/>
                <w:b w:val="0"/>
                <w:i w:val="0"/>
                <w:sz w:val="19"/>
              </w:rPr>
              <w:t>Allan / Claude</w:t>
            </w:r>
          </w:p>
        </w:tc>
        <w:tc>
          <w:tcPr>
            <w:tcW w:type="dxa" w:w="5760"/>
            <w:shd w:val="clear" w:color="auto" w:fill="FFFFFF"/>
            <w:tcMar>
              <w:top w:w="60" w:type="dxa"/>
              <w:left w:w="110" w:type="dxa"/>
              <w:bottom w:w="60" w:type="dxa"/>
              <w:right w:w="110" w:type="dxa"/>
            </w:tcMar>
          </w:tcPr>
          <w:p>
            <w:pPr>
              <w:spacing w:before="0" w:after="0"/>
            </w:pPr>
            <w:r/>
            <w:r>
              <w:rPr>
                <w:rFonts w:ascii="Arial" w:hAnsi="Arial" w:eastAsia="Arial"/>
                <w:b w:val="0"/>
                <w:i w:val="0"/>
                <w:sz w:val="19"/>
              </w:rPr>
              <w:t>Initial setup record and Apaleo field guide, written while provisioning the sandbox demo.</w:t>
            </w:r>
          </w:p>
        </w:tc>
      </w:tr>
      <w:tr>
        <w:tc>
          <w:tcPr>
            <w:tcW w:type="dxa" w:w="900"/>
            <w:shd w:val="clear" w:color="auto" w:fill="EAF3F0"/>
            <w:tcMar>
              <w:top w:w="60" w:type="dxa"/>
              <w:left w:w="110" w:type="dxa"/>
              <w:bottom w:w="60" w:type="dxa"/>
              <w:right w:w="110" w:type="dxa"/>
            </w:tcMar>
          </w:tcPr>
          <w:p>
            <w:pPr>
              <w:spacing w:before="0" w:after="0"/>
            </w:pPr>
            <w:r/>
            <w:r>
              <w:rPr>
                <w:rFonts w:ascii="Arial" w:hAnsi="Arial" w:eastAsia="Arial"/>
                <w:b w:val="0"/>
                <w:i w:val="0"/>
                <w:sz w:val="19"/>
              </w:rPr>
              <w:t>1.1</w:t>
            </w:r>
          </w:p>
        </w:tc>
        <w:tc>
          <w:tcPr>
            <w:tcW w:type="dxa" w:w="1100"/>
            <w:shd w:val="clear" w:color="auto" w:fill="EAF3F0"/>
            <w:tcMar>
              <w:top w:w="60" w:type="dxa"/>
              <w:left w:w="110" w:type="dxa"/>
              <w:bottom w:w="60" w:type="dxa"/>
              <w:right w:w="110" w:type="dxa"/>
            </w:tcMar>
          </w:tcPr>
          <w:p>
            <w:pPr>
              <w:spacing w:before="0" w:after="0"/>
            </w:pPr>
            <w:r/>
            <w:r>
              <w:rPr>
                <w:rFonts w:ascii="Arial" w:hAnsi="Arial" w:eastAsia="Arial"/>
                <w:b w:val="0"/>
                <w:i w:val="0"/>
                <w:sz w:val="19"/>
              </w:rPr>
              <w:t>July 2026</w:t>
            </w:r>
          </w:p>
        </w:tc>
        <w:tc>
          <w:tcPr>
            <w:tcW w:type="dxa" w:w="1600"/>
            <w:shd w:val="clear" w:color="auto" w:fill="EAF3F0"/>
            <w:tcMar>
              <w:top w:w="60" w:type="dxa"/>
              <w:left w:w="110" w:type="dxa"/>
              <w:bottom w:w="60" w:type="dxa"/>
              <w:right w:w="110" w:type="dxa"/>
            </w:tcMar>
          </w:tcPr>
          <w:p>
            <w:pPr>
              <w:spacing w:before="0" w:after="0"/>
            </w:pPr>
            <w:r/>
            <w:r>
              <w:rPr>
                <w:rFonts w:ascii="Arial" w:hAnsi="Arial" w:eastAsia="Arial"/>
                <w:b w:val="0"/>
                <w:i w:val="0"/>
                <w:sz w:val="19"/>
              </w:rPr>
              <w:t>Allan / Claude</w:t>
            </w:r>
          </w:p>
        </w:tc>
        <w:tc>
          <w:tcPr>
            <w:tcW w:type="dxa" w:w="5760"/>
            <w:shd w:val="clear" w:color="auto" w:fill="EAF3F0"/>
            <w:tcMar>
              <w:top w:w="60" w:type="dxa"/>
              <w:left w:w="110" w:type="dxa"/>
              <w:bottom w:w="60" w:type="dxa"/>
              <w:right w:w="110" w:type="dxa"/>
            </w:tcMar>
          </w:tcPr>
          <w:p>
            <w:pPr>
              <w:spacing w:before="0" w:after="0"/>
            </w:pPr>
            <w:r/>
            <w:r>
              <w:rPr>
                <w:rFonts w:ascii="Arial" w:hAnsi="Arial" w:eastAsia="Arial"/>
                <w:b w:val="0"/>
                <w:i w:val="0"/>
                <w:sz w:val="19"/>
              </w:rPr>
              <w:t>Provisioning succeeded. Added the two final lessons: restrictions live on the rate, not a separate endpoint; and the fetch-then-fill pricing pattern. Marked outcome as complete.</w:t>
            </w:r>
          </w:p>
        </w:tc>
      </w:tr>
    </w:tbl>
    <w:p>
      <w:pPr>
        <w:spacing w:before="0" w:after="40"/>
      </w:pPr>
    </w:p>
    <w:p>
      <w:pPr>
        <w:pStyle w:val="Heading1"/>
      </w:pPr>
      <w:r>
        <w:t>1. What the Demo Property Is</w:t>
      </w:r>
    </w:p>
    <w:p>
      <w:pPr>
        <w:spacing w:before="0" w:after="120"/>
      </w:pPr>
      <w:r>
        <w:rPr>
          <w:rFonts w:ascii="Arial" w:hAnsi="Arial" w:eastAsia="Arial"/>
          <w:b w:val="0"/>
          <w:i w:val="0"/>
          <w:sz w:val="20"/>
        </w:rPr>
        <w:t>The provisioning script builds one Test-status property in the Apaleo sandbox, modelled on the Center Parcs tier structure and adapted for a Kenyan lake-and-forest setting. Everything below is created through the Apaleo API, not by hand. As of this version the script runs end to end successfully: property, lodges, rate plans, prices, extras, and the turnover calendar are all in place in the sandbox.</w:t>
      </w:r>
    </w:p>
    <w:p>
      <w:pPr>
        <w:pStyle w:val="Heading2"/>
      </w:pPr>
      <w:r>
        <w:t>1.1 The property</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700"/>
        <w:gridCol w:w="3300"/>
        <w:gridCol w:w="4360"/>
      </w:tblGrid>
      <w:tr>
        <w:tc>
          <w:tcPr>
            <w:tcW w:type="dxa" w:w="17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Field</w:t>
            </w:r>
          </w:p>
        </w:tc>
        <w:tc>
          <w:tcPr>
            <w:tcW w:type="dxa" w:w="33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Value</w:t>
            </w:r>
          </w:p>
        </w:tc>
        <w:tc>
          <w:tcPr>
            <w:tcW w:type="dxa" w:w="43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Note</w:t>
            </w:r>
          </w:p>
        </w:tc>
      </w:tr>
      <w:tr>
        <w:tc>
          <w:tcPr>
            <w:tcW w:type="dxa" w:w="1700"/>
            <w:shd w:val="clear" w:color="auto" w:fill="FFFFFF"/>
            <w:tcMar>
              <w:top w:w="60" w:type="dxa"/>
              <w:left w:w="110" w:type="dxa"/>
              <w:bottom w:w="60" w:type="dxa"/>
              <w:right w:w="110" w:type="dxa"/>
            </w:tcMar>
          </w:tcPr>
          <w:p>
            <w:pPr>
              <w:spacing w:before="0" w:after="0"/>
            </w:pPr>
            <w:r/>
            <w:r>
              <w:rPr>
                <w:rFonts w:ascii="Arial" w:hAnsi="Arial" w:eastAsia="Arial"/>
                <w:b/>
                <w:i w:val="0"/>
                <w:sz w:val="19"/>
              </w:rPr>
              <w:t>Name</w:t>
            </w:r>
          </w:p>
        </w:tc>
        <w:tc>
          <w:tcPr>
            <w:tcW w:type="dxa" w:w="3300"/>
            <w:shd w:val="clear" w:color="auto" w:fill="FFFFFF"/>
            <w:tcMar>
              <w:top w:w="60" w:type="dxa"/>
              <w:left w:w="110" w:type="dxa"/>
              <w:bottom w:w="60" w:type="dxa"/>
              <w:right w:w="110" w:type="dxa"/>
            </w:tcMar>
          </w:tcPr>
          <w:p>
            <w:pPr>
              <w:spacing w:before="0" w:after="0"/>
            </w:pPr>
            <w:r/>
            <w:r>
              <w:rPr>
                <w:rFonts w:ascii="Arial" w:hAnsi="Arial" w:eastAsia="Arial"/>
                <w:b w:val="0"/>
                <w:i w:val="0"/>
                <w:sz w:val="19"/>
              </w:rPr>
              <w:t>Unity Parks Naivasha</w:t>
            </w:r>
          </w:p>
        </w:tc>
        <w:tc>
          <w:tcPr>
            <w:tcW w:type="dxa" w:w="4360"/>
            <w:shd w:val="clear" w:color="auto" w:fill="FFFFFF"/>
            <w:tcMar>
              <w:top w:w="60" w:type="dxa"/>
              <w:left w:w="110" w:type="dxa"/>
              <w:bottom w:w="60" w:type="dxa"/>
              <w:right w:w="110" w:type="dxa"/>
            </w:tcMar>
          </w:tcPr>
          <w:p>
            <w:pPr>
              <w:spacing w:before="0" w:after="0"/>
            </w:pPr>
            <w:r/>
            <w:r>
              <w:rPr>
                <w:rFonts w:ascii="Arial" w:hAnsi="Arial" w:eastAsia="Arial"/>
                <w:b w:val="0"/>
                <w:i w:val="0"/>
                <w:sz w:val="19"/>
              </w:rPr>
              <w:t>Guest-facing name.</w:t>
            </w:r>
          </w:p>
        </w:tc>
      </w:tr>
      <w:tr>
        <w:tc>
          <w:tcPr>
            <w:tcW w:type="dxa" w:w="1700"/>
            <w:shd w:val="clear" w:color="auto" w:fill="EAF3F0"/>
            <w:tcMar>
              <w:top w:w="60" w:type="dxa"/>
              <w:left w:w="110" w:type="dxa"/>
              <w:bottom w:w="60" w:type="dxa"/>
              <w:right w:w="110" w:type="dxa"/>
            </w:tcMar>
          </w:tcPr>
          <w:p>
            <w:pPr>
              <w:spacing w:before="0" w:after="0"/>
            </w:pPr>
            <w:r/>
            <w:r>
              <w:rPr>
                <w:rFonts w:ascii="Arial" w:hAnsi="Arial" w:eastAsia="Arial"/>
                <w:b/>
                <w:i w:val="0"/>
                <w:sz w:val="19"/>
              </w:rPr>
              <w:t>Code</w:t>
            </w:r>
          </w:p>
        </w:tc>
        <w:tc>
          <w:tcPr>
            <w:tcW w:type="dxa" w:w="3300"/>
            <w:shd w:val="clear" w:color="auto" w:fill="EAF3F0"/>
            <w:tcMar>
              <w:top w:w="60" w:type="dxa"/>
              <w:left w:w="110" w:type="dxa"/>
              <w:bottom w:w="60" w:type="dxa"/>
              <w:right w:w="110" w:type="dxa"/>
            </w:tcMar>
          </w:tcPr>
          <w:p>
            <w:pPr>
              <w:spacing w:before="0" w:after="0"/>
            </w:pPr>
            <w:r/>
            <w:r>
              <w:rPr>
                <w:rFonts w:ascii="Arial" w:hAnsi="Arial" w:eastAsia="Arial"/>
                <w:b w:val="0"/>
                <w:i w:val="0"/>
                <w:sz w:val="19"/>
              </w:rPr>
              <w:t>UPNV</w:t>
            </w:r>
          </w:p>
        </w:tc>
        <w:tc>
          <w:tcPr>
            <w:tcW w:type="dxa" w:w="4360"/>
            <w:shd w:val="clear" w:color="auto" w:fill="EAF3F0"/>
            <w:tcMar>
              <w:top w:w="60" w:type="dxa"/>
              <w:left w:w="110" w:type="dxa"/>
              <w:bottom w:w="60" w:type="dxa"/>
              <w:right w:w="110" w:type="dxa"/>
            </w:tcMar>
          </w:tcPr>
          <w:p>
            <w:pPr>
              <w:spacing w:before="0" w:after="0"/>
            </w:pPr>
            <w:r/>
            <w:r>
              <w:rPr>
                <w:rFonts w:ascii="Arial" w:hAnsi="Arial" w:eastAsia="Arial"/>
                <w:b w:val="0"/>
                <w:i w:val="0"/>
                <w:sz w:val="19"/>
              </w:rPr>
              <w:t>Permanent property id. Cannot be changed later.</w:t>
            </w:r>
          </w:p>
        </w:tc>
      </w:tr>
      <w:tr>
        <w:tc>
          <w:tcPr>
            <w:tcW w:type="dxa" w:w="1700"/>
            <w:shd w:val="clear" w:color="auto" w:fill="FFFFFF"/>
            <w:tcMar>
              <w:top w:w="60" w:type="dxa"/>
              <w:left w:w="110" w:type="dxa"/>
              <w:bottom w:w="60" w:type="dxa"/>
              <w:right w:w="110" w:type="dxa"/>
            </w:tcMar>
          </w:tcPr>
          <w:p>
            <w:pPr>
              <w:spacing w:before="0" w:after="0"/>
            </w:pPr>
            <w:r/>
            <w:r>
              <w:rPr>
                <w:rFonts w:ascii="Arial" w:hAnsi="Arial" w:eastAsia="Arial"/>
                <w:b/>
                <w:i w:val="0"/>
                <w:sz w:val="19"/>
              </w:rPr>
              <w:t>Currency</w:t>
            </w:r>
          </w:p>
        </w:tc>
        <w:tc>
          <w:tcPr>
            <w:tcW w:type="dxa" w:w="3300"/>
            <w:shd w:val="clear" w:color="auto" w:fill="FFFFFF"/>
            <w:tcMar>
              <w:top w:w="60" w:type="dxa"/>
              <w:left w:w="110" w:type="dxa"/>
              <w:bottom w:w="60" w:type="dxa"/>
              <w:right w:w="110" w:type="dxa"/>
            </w:tcMar>
          </w:tcPr>
          <w:p>
            <w:pPr>
              <w:spacing w:before="0" w:after="0"/>
            </w:pPr>
            <w:r/>
            <w:r>
              <w:rPr>
                <w:rFonts w:ascii="Arial" w:hAnsi="Arial" w:eastAsia="Arial"/>
                <w:b w:val="0"/>
                <w:i w:val="0"/>
                <w:sz w:val="19"/>
              </w:rPr>
              <w:t>KES</w:t>
            </w:r>
          </w:p>
        </w:tc>
        <w:tc>
          <w:tcPr>
            <w:tcW w:type="dxa" w:w="4360"/>
            <w:shd w:val="clear" w:color="auto" w:fill="FFFFFF"/>
            <w:tcMar>
              <w:top w:w="60" w:type="dxa"/>
              <w:left w:w="110" w:type="dxa"/>
              <w:bottom w:w="60" w:type="dxa"/>
              <w:right w:w="110" w:type="dxa"/>
            </w:tcMar>
          </w:tcPr>
          <w:p>
            <w:pPr>
              <w:spacing w:before="0" w:after="0"/>
            </w:pPr>
            <w:r/>
            <w:r>
              <w:rPr>
                <w:rFonts w:ascii="Arial" w:hAnsi="Arial" w:eastAsia="Arial"/>
                <w:b w:val="0"/>
                <w:i w:val="0"/>
                <w:sz w:val="19"/>
              </w:rPr>
              <w:t>Kenyan Shilling. Accepted by Apaleo even though Kenya is not.</w:t>
            </w:r>
          </w:p>
        </w:tc>
      </w:tr>
      <w:tr>
        <w:tc>
          <w:tcPr>
            <w:tcW w:type="dxa" w:w="1700"/>
            <w:shd w:val="clear" w:color="auto" w:fill="EAF3F0"/>
            <w:tcMar>
              <w:top w:w="60" w:type="dxa"/>
              <w:left w:w="110" w:type="dxa"/>
              <w:bottom w:w="60" w:type="dxa"/>
              <w:right w:w="110" w:type="dxa"/>
            </w:tcMar>
          </w:tcPr>
          <w:p>
            <w:pPr>
              <w:spacing w:before="0" w:after="0"/>
            </w:pPr>
            <w:r/>
            <w:r>
              <w:rPr>
                <w:rFonts w:ascii="Arial" w:hAnsi="Arial" w:eastAsia="Arial"/>
                <w:b/>
                <w:i w:val="0"/>
                <w:sz w:val="19"/>
              </w:rPr>
              <w:t>Country</w:t>
            </w:r>
          </w:p>
        </w:tc>
        <w:tc>
          <w:tcPr>
            <w:tcW w:type="dxa" w:w="3300"/>
            <w:shd w:val="clear" w:color="auto" w:fill="EAF3F0"/>
            <w:tcMar>
              <w:top w:w="60" w:type="dxa"/>
              <w:left w:w="110" w:type="dxa"/>
              <w:bottom w:w="60" w:type="dxa"/>
              <w:right w:w="110" w:type="dxa"/>
            </w:tcMar>
          </w:tcPr>
          <w:p>
            <w:pPr>
              <w:spacing w:before="0" w:after="0"/>
            </w:pPr>
            <w:r/>
            <w:r>
              <w:rPr>
                <w:rFonts w:ascii="Arial" w:hAnsi="Arial" w:eastAsia="Arial"/>
                <w:b w:val="0"/>
                <w:i w:val="0"/>
                <w:sz w:val="19"/>
              </w:rPr>
              <w:t>DE (Germany)</w:t>
            </w:r>
          </w:p>
        </w:tc>
        <w:tc>
          <w:tcPr>
            <w:tcW w:type="dxa" w:w="4360"/>
            <w:shd w:val="clear" w:color="auto" w:fill="EAF3F0"/>
            <w:tcMar>
              <w:top w:w="60" w:type="dxa"/>
              <w:left w:w="110" w:type="dxa"/>
              <w:bottom w:w="60" w:type="dxa"/>
              <w:right w:w="110" w:type="dxa"/>
            </w:tcMar>
          </w:tcPr>
          <w:p>
            <w:pPr>
              <w:spacing w:before="0" w:after="0"/>
            </w:pPr>
            <w:r/>
            <w:r>
              <w:rPr>
                <w:rFonts w:ascii="Arial" w:hAnsi="Arial" w:eastAsia="Arial"/>
                <w:b w:val="0"/>
                <w:i w:val="0"/>
                <w:sz w:val="19"/>
              </w:rPr>
              <w:t>A sandbox workaround. See Section 3.</w:t>
            </w:r>
          </w:p>
        </w:tc>
      </w:tr>
      <w:tr>
        <w:tc>
          <w:tcPr>
            <w:tcW w:type="dxa" w:w="1700"/>
            <w:shd w:val="clear" w:color="auto" w:fill="FFFFFF"/>
            <w:tcMar>
              <w:top w:w="60" w:type="dxa"/>
              <w:left w:w="110" w:type="dxa"/>
              <w:bottom w:w="60" w:type="dxa"/>
              <w:right w:w="110" w:type="dxa"/>
            </w:tcMar>
          </w:tcPr>
          <w:p>
            <w:pPr>
              <w:spacing w:before="0" w:after="0"/>
            </w:pPr>
            <w:r/>
            <w:r>
              <w:rPr>
                <w:rFonts w:ascii="Arial" w:hAnsi="Arial" w:eastAsia="Arial"/>
                <w:b/>
                <w:i w:val="0"/>
                <w:sz w:val="19"/>
              </w:rPr>
              <w:t>Time zone</w:t>
            </w:r>
          </w:p>
        </w:tc>
        <w:tc>
          <w:tcPr>
            <w:tcW w:type="dxa" w:w="3300"/>
            <w:shd w:val="clear" w:color="auto" w:fill="FFFFFF"/>
            <w:tcMar>
              <w:top w:w="60" w:type="dxa"/>
              <w:left w:w="110" w:type="dxa"/>
              <w:bottom w:w="60" w:type="dxa"/>
              <w:right w:w="110" w:type="dxa"/>
            </w:tcMar>
          </w:tcPr>
          <w:p>
            <w:pPr>
              <w:spacing w:before="0" w:after="0"/>
            </w:pPr>
            <w:r/>
            <w:r>
              <w:rPr>
                <w:rFonts w:ascii="Arial" w:hAnsi="Arial" w:eastAsia="Arial"/>
                <w:b w:val="0"/>
                <w:i w:val="0"/>
                <w:sz w:val="19"/>
              </w:rPr>
              <w:t>Europe/Berlin</w:t>
            </w:r>
          </w:p>
        </w:tc>
        <w:tc>
          <w:tcPr>
            <w:tcW w:type="dxa" w:w="4360"/>
            <w:shd w:val="clear" w:color="auto" w:fill="FFFFFF"/>
            <w:tcMar>
              <w:top w:w="60" w:type="dxa"/>
              <w:left w:w="110" w:type="dxa"/>
              <w:bottom w:w="60" w:type="dxa"/>
              <w:right w:w="110" w:type="dxa"/>
            </w:tcMar>
          </w:tcPr>
          <w:p>
            <w:pPr>
              <w:spacing w:before="0" w:after="0"/>
            </w:pPr>
            <w:r/>
            <w:r>
              <w:rPr>
                <w:rFonts w:ascii="Arial" w:hAnsi="Arial" w:eastAsia="Arial"/>
                <w:b w:val="0"/>
                <w:i w:val="0"/>
                <w:sz w:val="19"/>
              </w:rPr>
              <w:t>Also a workaround, paired with the country.</w:t>
            </w:r>
          </w:p>
        </w:tc>
      </w:tr>
      <w:tr>
        <w:tc>
          <w:tcPr>
            <w:tcW w:type="dxa" w:w="1700"/>
            <w:shd w:val="clear" w:color="auto" w:fill="EAF3F0"/>
            <w:tcMar>
              <w:top w:w="60" w:type="dxa"/>
              <w:left w:w="110" w:type="dxa"/>
              <w:bottom w:w="60" w:type="dxa"/>
              <w:right w:w="110" w:type="dxa"/>
            </w:tcMar>
          </w:tcPr>
          <w:p>
            <w:pPr>
              <w:spacing w:before="0" w:after="0"/>
            </w:pPr>
            <w:r/>
            <w:r>
              <w:rPr>
                <w:rFonts w:ascii="Arial" w:hAnsi="Arial" w:eastAsia="Arial"/>
                <w:b/>
                <w:i w:val="0"/>
                <w:sz w:val="19"/>
              </w:rPr>
              <w:t>Status</w:t>
            </w:r>
          </w:p>
        </w:tc>
        <w:tc>
          <w:tcPr>
            <w:tcW w:type="dxa" w:w="3300"/>
            <w:shd w:val="clear" w:color="auto" w:fill="EAF3F0"/>
            <w:tcMar>
              <w:top w:w="60" w:type="dxa"/>
              <w:left w:w="110" w:type="dxa"/>
              <w:bottom w:w="60" w:type="dxa"/>
              <w:right w:w="110" w:type="dxa"/>
            </w:tcMar>
          </w:tcPr>
          <w:p>
            <w:pPr>
              <w:spacing w:before="0" w:after="0"/>
            </w:pPr>
            <w:r/>
            <w:r>
              <w:rPr>
                <w:rFonts w:ascii="Arial" w:hAnsi="Arial" w:eastAsia="Arial"/>
                <w:b w:val="0"/>
                <w:i w:val="0"/>
                <w:sz w:val="19"/>
              </w:rPr>
              <w:t>Test</w:t>
            </w:r>
          </w:p>
        </w:tc>
        <w:tc>
          <w:tcPr>
            <w:tcW w:type="dxa" w:w="4360"/>
            <w:shd w:val="clear" w:color="auto" w:fill="EAF3F0"/>
            <w:tcMar>
              <w:top w:w="60" w:type="dxa"/>
              <w:left w:w="110" w:type="dxa"/>
              <w:bottom w:w="60" w:type="dxa"/>
              <w:right w:w="110" w:type="dxa"/>
            </w:tcMar>
          </w:tcPr>
          <w:p>
            <w:pPr>
              <w:spacing w:before="0" w:after="0"/>
            </w:pPr>
            <w:r/>
            <w:r>
              <w:rPr>
                <w:rFonts w:ascii="Arial" w:hAnsi="Arial" w:eastAsia="Arial"/>
                <w:b w:val="0"/>
                <w:i w:val="0"/>
                <w:sz w:val="19"/>
              </w:rPr>
              <w:t>Sandbox data. Never billed, never live.</w:t>
            </w:r>
          </w:p>
        </w:tc>
      </w:tr>
      <w:tr>
        <w:tc>
          <w:tcPr>
            <w:tcW w:type="dxa" w:w="1700"/>
            <w:shd w:val="clear" w:color="auto" w:fill="FFFFFF"/>
            <w:tcMar>
              <w:top w:w="60" w:type="dxa"/>
              <w:left w:w="110" w:type="dxa"/>
              <w:bottom w:w="60" w:type="dxa"/>
              <w:right w:w="110" w:type="dxa"/>
            </w:tcMar>
          </w:tcPr>
          <w:p>
            <w:pPr>
              <w:spacing w:before="0" w:after="0"/>
            </w:pPr>
            <w:r/>
            <w:r>
              <w:rPr>
                <w:rFonts w:ascii="Arial" w:hAnsi="Arial" w:eastAsia="Arial"/>
                <w:b/>
                <w:i w:val="0"/>
                <w:sz w:val="19"/>
              </w:rPr>
              <w:t>Deposit terms</w:t>
            </w:r>
          </w:p>
        </w:tc>
        <w:tc>
          <w:tcPr>
            <w:tcW w:type="dxa" w:w="3300"/>
            <w:shd w:val="clear" w:color="auto" w:fill="FFFFFF"/>
            <w:tcMar>
              <w:top w:w="60" w:type="dxa"/>
              <w:left w:w="110" w:type="dxa"/>
              <w:bottom w:w="60" w:type="dxa"/>
              <w:right w:w="110" w:type="dxa"/>
            </w:tcMar>
          </w:tcPr>
          <w:p>
            <w:pPr>
              <w:spacing w:before="0" w:after="0"/>
            </w:pPr>
            <w:r/>
            <w:r>
              <w:rPr>
                <w:rFonts w:ascii="Arial" w:hAnsi="Arial" w:eastAsia="Arial"/>
                <w:b w:val="0"/>
                <w:i w:val="0"/>
                <w:sz w:val="19"/>
              </w:rPr>
              <w:t>30% at booking, balance 10 weeks before arrival</w:t>
            </w:r>
          </w:p>
        </w:tc>
        <w:tc>
          <w:tcPr>
            <w:tcW w:type="dxa" w:w="4360"/>
            <w:shd w:val="clear" w:color="auto" w:fill="FFFFFF"/>
            <w:tcMar>
              <w:top w:w="60" w:type="dxa"/>
              <w:left w:w="110" w:type="dxa"/>
              <w:bottom w:w="60" w:type="dxa"/>
              <w:right w:w="110" w:type="dxa"/>
            </w:tcMar>
          </w:tcPr>
          <w:p>
            <w:pPr>
              <w:spacing w:before="0" w:after="0"/>
            </w:pPr>
            <w:r/>
            <w:r>
              <w:rPr>
                <w:rFonts w:ascii="Arial" w:hAnsi="Arial" w:eastAsia="Arial"/>
                <w:b w:val="0"/>
                <w:i w:val="0"/>
                <w:sz w:val="19"/>
              </w:rPr>
              <w:t>Mirrors Center Parcs.</w:t>
            </w:r>
          </w:p>
        </w:tc>
      </w:tr>
    </w:tbl>
    <w:p>
      <w:pPr>
        <w:spacing w:before="0" w:after="40"/>
      </w:pPr>
    </w:p>
    <w:p>
      <w:pPr>
        <w:pStyle w:val="Heading2"/>
      </w:pPr>
      <w:r>
        <w:t>1.2 The four lodge tiers</w:t>
      </w:r>
    </w:p>
    <w:p>
      <w:pPr>
        <w:spacing w:before="0" w:after="120"/>
      </w:pPr>
      <w:r>
        <w:rPr>
          <w:rFonts w:ascii="Arial" w:hAnsi="Arial" w:eastAsia="Arial"/>
          <w:b w:val="0"/>
          <w:i w:val="0"/>
          <w:sz w:val="20"/>
        </w:rPr>
        <w:t>Each tier is an Apaleo unit group. Prices are per lodge per night, in KES, positioned for a premium Kenyan resort rather than a direct currency conversion.</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0"/>
        <w:gridCol w:w="1000"/>
        <w:gridCol w:w="1000"/>
        <w:gridCol w:w="1600"/>
        <w:gridCol w:w="3410"/>
      </w:tblGrid>
      <w:tr>
        <w:tc>
          <w:tcPr>
            <w:tcW w:type="dxa" w:w="235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Lodge tier</w:t>
            </w:r>
          </w:p>
        </w:tc>
        <w:tc>
          <w:tcPr>
            <w:tcW w:type="dxa" w:w="10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Code</w:t>
            </w:r>
          </w:p>
        </w:tc>
        <w:tc>
          <w:tcPr>
            <w:tcW w:type="dxa" w:w="10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Sleeps</w:t>
            </w:r>
          </w:p>
        </w:tc>
        <w:tc>
          <w:tcPr>
            <w:tcW w:type="dxa" w:w="16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KES / night</w:t>
            </w:r>
          </w:p>
        </w:tc>
        <w:tc>
          <w:tcPr>
            <w:tcW w:type="dxa" w:w="341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Center Parcs equivalent</w:t>
            </w:r>
          </w:p>
        </w:tc>
      </w:tr>
      <w:tr>
        <w:tc>
          <w:tcPr>
            <w:tcW w:type="dxa" w:w="2350"/>
            <w:shd w:val="clear" w:color="auto" w:fill="FFFFFF"/>
            <w:tcMar>
              <w:top w:w="60" w:type="dxa"/>
              <w:left w:w="110" w:type="dxa"/>
              <w:bottom w:w="60" w:type="dxa"/>
              <w:right w:w="110" w:type="dxa"/>
            </w:tcMar>
          </w:tcPr>
          <w:p>
            <w:pPr>
              <w:spacing w:before="0" w:after="0"/>
            </w:pPr>
            <w:r/>
            <w:r>
              <w:rPr>
                <w:rFonts w:ascii="Arial" w:hAnsi="Arial" w:eastAsia="Arial"/>
                <w:b w:val="0"/>
                <w:i w:val="0"/>
                <w:sz w:val="19"/>
              </w:rPr>
              <w:t>Woodland Lodge</w:t>
            </w:r>
          </w:p>
        </w:tc>
        <w:tc>
          <w:tcPr>
            <w:tcW w:type="dxa" w:w="1000"/>
            <w:shd w:val="clear" w:color="auto" w:fill="FFFFFF"/>
            <w:tcMar>
              <w:top w:w="60" w:type="dxa"/>
              <w:left w:w="110" w:type="dxa"/>
              <w:bottom w:w="60" w:type="dxa"/>
              <w:right w:w="110" w:type="dxa"/>
            </w:tcMar>
          </w:tcPr>
          <w:p>
            <w:pPr>
              <w:spacing w:before="0" w:after="0"/>
            </w:pPr>
            <w:r/>
            <w:r>
              <w:rPr>
                <w:rFonts w:ascii="Arial" w:hAnsi="Arial" w:eastAsia="Arial"/>
                <w:b w:val="0"/>
                <w:i w:val="0"/>
                <w:sz w:val="19"/>
              </w:rPr>
              <w:t>WDL</w:t>
            </w:r>
          </w:p>
        </w:tc>
        <w:tc>
          <w:tcPr>
            <w:tcW w:type="dxa" w:w="1000"/>
            <w:shd w:val="clear" w:color="auto" w:fill="FFFFFF"/>
            <w:tcMar>
              <w:top w:w="60" w:type="dxa"/>
              <w:left w:w="110" w:type="dxa"/>
              <w:bottom w:w="60" w:type="dxa"/>
              <w:right w:w="110" w:type="dxa"/>
            </w:tcMar>
          </w:tcPr>
          <w:p>
            <w:pPr>
              <w:spacing w:before="0" w:after="0"/>
            </w:pPr>
            <w:r/>
            <w:r>
              <w:rPr>
                <w:rFonts w:ascii="Arial" w:hAnsi="Arial" w:eastAsia="Arial"/>
                <w:b w:val="0"/>
                <w:i w:val="0"/>
                <w:sz w:val="19"/>
              </w:rPr>
              <w:t>4</w:t>
            </w:r>
          </w:p>
        </w:tc>
        <w:tc>
          <w:tcPr>
            <w:tcW w:type="dxa" w:w="1600"/>
            <w:shd w:val="clear" w:color="auto" w:fill="FFFFFF"/>
            <w:tcMar>
              <w:top w:w="60" w:type="dxa"/>
              <w:left w:w="110" w:type="dxa"/>
              <w:bottom w:w="60" w:type="dxa"/>
              <w:right w:w="110" w:type="dxa"/>
            </w:tcMar>
          </w:tcPr>
          <w:p>
            <w:pPr>
              <w:spacing w:before="0" w:after="0"/>
            </w:pPr>
            <w:r/>
            <w:r>
              <w:rPr>
                <w:rFonts w:ascii="Arial" w:hAnsi="Arial" w:eastAsia="Arial"/>
                <w:b w:val="0"/>
                <w:i w:val="0"/>
                <w:sz w:val="19"/>
              </w:rPr>
              <w:t>28,000</w:t>
            </w:r>
          </w:p>
        </w:tc>
        <w:tc>
          <w:tcPr>
            <w:tcW w:type="dxa" w:w="3410"/>
            <w:shd w:val="clear" w:color="auto" w:fill="FFFFFF"/>
            <w:tcMar>
              <w:top w:w="60" w:type="dxa"/>
              <w:left w:w="110" w:type="dxa"/>
              <w:bottom w:w="60" w:type="dxa"/>
              <w:right w:w="110" w:type="dxa"/>
            </w:tcMar>
          </w:tcPr>
          <w:p>
            <w:pPr>
              <w:spacing w:before="0" w:after="0"/>
            </w:pPr>
            <w:r/>
            <w:r>
              <w:rPr>
                <w:rFonts w:ascii="Arial" w:hAnsi="Arial" w:eastAsia="Arial"/>
                <w:b w:val="0"/>
                <w:i w:val="0"/>
                <w:sz w:val="19"/>
              </w:rPr>
              <w:t>Entry Woodland Lodge</w:t>
            </w:r>
          </w:p>
        </w:tc>
      </w:tr>
      <w:tr>
        <w:tc>
          <w:tcPr>
            <w:tcW w:type="dxa" w:w="2350"/>
            <w:shd w:val="clear" w:color="auto" w:fill="EAF3F0"/>
            <w:tcMar>
              <w:top w:w="60" w:type="dxa"/>
              <w:left w:w="110" w:type="dxa"/>
              <w:bottom w:w="60" w:type="dxa"/>
              <w:right w:w="110" w:type="dxa"/>
            </w:tcMar>
          </w:tcPr>
          <w:p>
            <w:pPr>
              <w:spacing w:before="0" w:after="0"/>
            </w:pPr>
            <w:r/>
            <w:r>
              <w:rPr>
                <w:rFonts w:ascii="Arial" w:hAnsi="Arial" w:eastAsia="Arial"/>
                <w:b w:val="0"/>
                <w:i w:val="0"/>
                <w:sz w:val="19"/>
              </w:rPr>
              <w:t>Forest Lodge</w:t>
            </w:r>
          </w:p>
        </w:tc>
        <w:tc>
          <w:tcPr>
            <w:tcW w:type="dxa" w:w="1000"/>
            <w:shd w:val="clear" w:color="auto" w:fill="EAF3F0"/>
            <w:tcMar>
              <w:top w:w="60" w:type="dxa"/>
              <w:left w:w="110" w:type="dxa"/>
              <w:bottom w:w="60" w:type="dxa"/>
              <w:right w:w="110" w:type="dxa"/>
            </w:tcMar>
          </w:tcPr>
          <w:p>
            <w:pPr>
              <w:spacing w:before="0" w:after="0"/>
            </w:pPr>
            <w:r/>
            <w:r>
              <w:rPr>
                <w:rFonts w:ascii="Arial" w:hAnsi="Arial" w:eastAsia="Arial"/>
                <w:b w:val="0"/>
                <w:i w:val="0"/>
                <w:sz w:val="19"/>
              </w:rPr>
              <w:t>FST</w:t>
            </w:r>
          </w:p>
        </w:tc>
        <w:tc>
          <w:tcPr>
            <w:tcW w:type="dxa" w:w="1000"/>
            <w:shd w:val="clear" w:color="auto" w:fill="EAF3F0"/>
            <w:tcMar>
              <w:top w:w="60" w:type="dxa"/>
              <w:left w:w="110" w:type="dxa"/>
              <w:bottom w:w="60" w:type="dxa"/>
              <w:right w:w="110" w:type="dxa"/>
            </w:tcMar>
          </w:tcPr>
          <w:p>
            <w:pPr>
              <w:spacing w:before="0" w:after="0"/>
            </w:pPr>
            <w:r/>
            <w:r>
              <w:rPr>
                <w:rFonts w:ascii="Arial" w:hAnsi="Arial" w:eastAsia="Arial"/>
                <w:b w:val="0"/>
                <w:i w:val="0"/>
                <w:sz w:val="19"/>
              </w:rPr>
              <w:t>6</w:t>
            </w:r>
          </w:p>
        </w:tc>
        <w:tc>
          <w:tcPr>
            <w:tcW w:type="dxa" w:w="1600"/>
            <w:shd w:val="clear" w:color="auto" w:fill="EAF3F0"/>
            <w:tcMar>
              <w:top w:w="60" w:type="dxa"/>
              <w:left w:w="110" w:type="dxa"/>
              <w:bottom w:w="60" w:type="dxa"/>
              <w:right w:w="110" w:type="dxa"/>
            </w:tcMar>
          </w:tcPr>
          <w:p>
            <w:pPr>
              <w:spacing w:before="0" w:after="0"/>
            </w:pPr>
            <w:r/>
            <w:r>
              <w:rPr>
                <w:rFonts w:ascii="Arial" w:hAnsi="Arial" w:eastAsia="Arial"/>
                <w:b w:val="0"/>
                <w:i w:val="0"/>
                <w:sz w:val="19"/>
              </w:rPr>
              <w:t>42,000</w:t>
            </w:r>
          </w:p>
        </w:tc>
        <w:tc>
          <w:tcPr>
            <w:tcW w:type="dxa" w:w="3410"/>
            <w:shd w:val="clear" w:color="auto" w:fill="EAF3F0"/>
            <w:tcMar>
              <w:top w:w="60" w:type="dxa"/>
              <w:left w:w="110" w:type="dxa"/>
              <w:bottom w:w="60" w:type="dxa"/>
              <w:right w:w="110" w:type="dxa"/>
            </w:tcMar>
          </w:tcPr>
          <w:p>
            <w:pPr>
              <w:spacing w:before="0" w:after="0"/>
            </w:pPr>
            <w:r/>
            <w:r>
              <w:rPr>
                <w:rFonts w:ascii="Arial" w:hAnsi="Arial" w:eastAsia="Arial"/>
                <w:b w:val="0"/>
                <w:i w:val="0"/>
                <w:sz w:val="19"/>
              </w:rPr>
              <w:t>Forest Lodge</w:t>
            </w:r>
          </w:p>
        </w:tc>
      </w:tr>
      <w:tr>
        <w:tc>
          <w:tcPr>
            <w:tcW w:type="dxa" w:w="2350"/>
            <w:shd w:val="clear" w:color="auto" w:fill="FFFFFF"/>
            <w:tcMar>
              <w:top w:w="60" w:type="dxa"/>
              <w:left w:w="110" w:type="dxa"/>
              <w:bottom w:w="60" w:type="dxa"/>
              <w:right w:w="110" w:type="dxa"/>
            </w:tcMar>
          </w:tcPr>
          <w:p>
            <w:pPr>
              <w:spacing w:before="0" w:after="0"/>
            </w:pPr>
            <w:r/>
            <w:r>
              <w:rPr>
                <w:rFonts w:ascii="Arial" w:hAnsi="Arial" w:eastAsia="Arial"/>
                <w:b w:val="0"/>
                <w:i w:val="0"/>
                <w:sz w:val="19"/>
              </w:rPr>
              <w:t>Lakeview Lodge</w:t>
            </w:r>
          </w:p>
        </w:tc>
        <w:tc>
          <w:tcPr>
            <w:tcW w:type="dxa" w:w="1000"/>
            <w:shd w:val="clear" w:color="auto" w:fill="FFFFFF"/>
            <w:tcMar>
              <w:top w:w="60" w:type="dxa"/>
              <w:left w:w="110" w:type="dxa"/>
              <w:bottom w:w="60" w:type="dxa"/>
              <w:right w:w="110" w:type="dxa"/>
            </w:tcMar>
          </w:tcPr>
          <w:p>
            <w:pPr>
              <w:spacing w:before="0" w:after="0"/>
            </w:pPr>
            <w:r/>
            <w:r>
              <w:rPr>
                <w:rFonts w:ascii="Arial" w:hAnsi="Arial" w:eastAsia="Arial"/>
                <w:b w:val="0"/>
                <w:i w:val="0"/>
                <w:sz w:val="19"/>
              </w:rPr>
              <w:t>LKV</w:t>
            </w:r>
          </w:p>
        </w:tc>
        <w:tc>
          <w:tcPr>
            <w:tcW w:type="dxa" w:w="1000"/>
            <w:shd w:val="clear" w:color="auto" w:fill="FFFFFF"/>
            <w:tcMar>
              <w:top w:w="60" w:type="dxa"/>
              <w:left w:w="110" w:type="dxa"/>
              <w:bottom w:w="60" w:type="dxa"/>
              <w:right w:w="110" w:type="dxa"/>
            </w:tcMar>
          </w:tcPr>
          <w:p>
            <w:pPr>
              <w:spacing w:before="0" w:after="0"/>
            </w:pPr>
            <w:r/>
            <w:r>
              <w:rPr>
                <w:rFonts w:ascii="Arial" w:hAnsi="Arial" w:eastAsia="Arial"/>
                <w:b w:val="0"/>
                <w:i w:val="0"/>
                <w:sz w:val="19"/>
              </w:rPr>
              <w:t>8</w:t>
            </w:r>
          </w:p>
        </w:tc>
        <w:tc>
          <w:tcPr>
            <w:tcW w:type="dxa" w:w="1600"/>
            <w:shd w:val="clear" w:color="auto" w:fill="FFFFFF"/>
            <w:tcMar>
              <w:top w:w="60" w:type="dxa"/>
              <w:left w:w="110" w:type="dxa"/>
              <w:bottom w:w="60" w:type="dxa"/>
              <w:right w:w="110" w:type="dxa"/>
            </w:tcMar>
          </w:tcPr>
          <w:p>
            <w:pPr>
              <w:spacing w:before="0" w:after="0"/>
            </w:pPr>
            <w:r/>
            <w:r>
              <w:rPr>
                <w:rFonts w:ascii="Arial" w:hAnsi="Arial" w:eastAsia="Arial"/>
                <w:b w:val="0"/>
                <w:i w:val="0"/>
                <w:sz w:val="19"/>
              </w:rPr>
              <w:t>65,000</w:t>
            </w:r>
          </w:p>
        </w:tc>
        <w:tc>
          <w:tcPr>
            <w:tcW w:type="dxa" w:w="3410"/>
            <w:shd w:val="clear" w:color="auto" w:fill="FFFFFF"/>
            <w:tcMar>
              <w:top w:w="60" w:type="dxa"/>
              <w:left w:w="110" w:type="dxa"/>
              <w:bottom w:w="60" w:type="dxa"/>
              <w:right w:w="110" w:type="dxa"/>
            </w:tcMar>
          </w:tcPr>
          <w:p>
            <w:pPr>
              <w:spacing w:before="0" w:after="0"/>
            </w:pPr>
            <w:r/>
            <w:r>
              <w:rPr>
                <w:rFonts w:ascii="Arial" w:hAnsi="Arial" w:eastAsia="Arial"/>
                <w:b w:val="0"/>
                <w:i w:val="0"/>
                <w:sz w:val="19"/>
              </w:rPr>
              <w:t>Grand Forest Lodge</w:t>
            </w:r>
          </w:p>
        </w:tc>
      </w:tr>
      <w:tr>
        <w:tc>
          <w:tcPr>
            <w:tcW w:type="dxa" w:w="2350"/>
            <w:shd w:val="clear" w:color="auto" w:fill="EAF3F0"/>
            <w:tcMar>
              <w:top w:w="60" w:type="dxa"/>
              <w:left w:w="110" w:type="dxa"/>
              <w:bottom w:w="60" w:type="dxa"/>
              <w:right w:w="110" w:type="dxa"/>
            </w:tcMar>
          </w:tcPr>
          <w:p>
            <w:pPr>
              <w:spacing w:before="0" w:after="0"/>
            </w:pPr>
            <w:r/>
            <w:r>
              <w:rPr>
                <w:rFonts w:ascii="Arial" w:hAnsi="Arial" w:eastAsia="Arial"/>
                <w:b w:val="0"/>
                <w:i w:val="0"/>
                <w:sz w:val="19"/>
              </w:rPr>
              <w:t>Exclusive Lodge</w:t>
            </w:r>
          </w:p>
        </w:tc>
        <w:tc>
          <w:tcPr>
            <w:tcW w:type="dxa" w:w="1000"/>
            <w:shd w:val="clear" w:color="auto" w:fill="EAF3F0"/>
            <w:tcMar>
              <w:top w:w="60" w:type="dxa"/>
              <w:left w:w="110" w:type="dxa"/>
              <w:bottom w:w="60" w:type="dxa"/>
              <w:right w:w="110" w:type="dxa"/>
            </w:tcMar>
          </w:tcPr>
          <w:p>
            <w:pPr>
              <w:spacing w:before="0" w:after="0"/>
            </w:pPr>
            <w:r/>
            <w:r>
              <w:rPr>
                <w:rFonts w:ascii="Arial" w:hAnsi="Arial" w:eastAsia="Arial"/>
                <w:b w:val="0"/>
                <w:i w:val="0"/>
                <w:sz w:val="19"/>
              </w:rPr>
              <w:t>EXC</w:t>
            </w:r>
          </w:p>
        </w:tc>
        <w:tc>
          <w:tcPr>
            <w:tcW w:type="dxa" w:w="1000"/>
            <w:shd w:val="clear" w:color="auto" w:fill="EAF3F0"/>
            <w:tcMar>
              <w:top w:w="60" w:type="dxa"/>
              <w:left w:w="110" w:type="dxa"/>
              <w:bottom w:w="60" w:type="dxa"/>
              <w:right w:w="110" w:type="dxa"/>
            </w:tcMar>
          </w:tcPr>
          <w:p>
            <w:pPr>
              <w:spacing w:before="0" w:after="0"/>
            </w:pPr>
            <w:r/>
            <w:r>
              <w:rPr>
                <w:rFonts w:ascii="Arial" w:hAnsi="Arial" w:eastAsia="Arial"/>
                <w:b w:val="0"/>
                <w:i w:val="0"/>
                <w:sz w:val="19"/>
              </w:rPr>
              <w:t>8</w:t>
            </w:r>
          </w:p>
        </w:tc>
        <w:tc>
          <w:tcPr>
            <w:tcW w:type="dxa" w:w="1600"/>
            <w:shd w:val="clear" w:color="auto" w:fill="EAF3F0"/>
            <w:tcMar>
              <w:top w:w="60" w:type="dxa"/>
              <w:left w:w="110" w:type="dxa"/>
              <w:bottom w:w="60" w:type="dxa"/>
              <w:right w:w="110" w:type="dxa"/>
            </w:tcMar>
          </w:tcPr>
          <w:p>
            <w:pPr>
              <w:spacing w:before="0" w:after="0"/>
            </w:pPr>
            <w:r/>
            <w:r>
              <w:rPr>
                <w:rFonts w:ascii="Arial" w:hAnsi="Arial" w:eastAsia="Arial"/>
                <w:b w:val="0"/>
                <w:i w:val="0"/>
                <w:sz w:val="19"/>
              </w:rPr>
              <w:t>95,000</w:t>
            </w:r>
          </w:p>
        </w:tc>
        <w:tc>
          <w:tcPr>
            <w:tcW w:type="dxa" w:w="3410"/>
            <w:shd w:val="clear" w:color="auto" w:fill="EAF3F0"/>
            <w:tcMar>
              <w:top w:w="60" w:type="dxa"/>
              <w:left w:w="110" w:type="dxa"/>
              <w:bottom w:w="60" w:type="dxa"/>
              <w:right w:w="110" w:type="dxa"/>
            </w:tcMar>
          </w:tcPr>
          <w:p>
            <w:pPr>
              <w:spacing w:before="0" w:after="0"/>
            </w:pPr>
            <w:r/>
            <w:r>
              <w:rPr>
                <w:rFonts w:ascii="Arial" w:hAnsi="Arial" w:eastAsia="Arial"/>
                <w:b w:val="0"/>
                <w:i w:val="0"/>
                <w:sz w:val="19"/>
              </w:rPr>
              <w:t>Exclusive, with hot tub and sauna</w:t>
            </w:r>
          </w:p>
        </w:tc>
      </w:tr>
    </w:tbl>
    <w:p>
      <w:pPr>
        <w:spacing w:before="0" w:after="40"/>
      </w:pPr>
    </w:p>
    <w:p>
      <w:pPr>
        <w:spacing w:before="0" w:after="120"/>
      </w:pPr>
      <w:r>
        <w:rPr>
          <w:rFonts w:ascii="Arial" w:hAnsi="Arial" w:eastAsia="Arial"/>
          <w:b w:val="0"/>
          <w:i w:val="0"/>
          <w:sz w:val="20"/>
        </w:rPr>
        <w:t>There are 5 individual lodges (units) under each tier, so 20 lodges in total. Each tier has one flexible rate plan with the 14-day free cancellation policy and 30% prepayment.</w:t>
      </w:r>
    </w:p>
    <w:p>
      <w:pPr>
        <w:pStyle w:val="Heading2"/>
      </w:pPr>
      <w:r>
        <w:t>1.3 The five extras</w:t>
      </w:r>
    </w:p>
    <w:p>
      <w:pPr>
        <w:spacing w:before="0" w:after="120"/>
      </w:pPr>
      <w:r>
        <w:rPr>
          <w:rFonts w:ascii="Arial" w:hAnsi="Arial" w:eastAsia="Arial"/>
          <w:b w:val="0"/>
          <w:i w:val="0"/>
          <w:sz w:val="20"/>
        </w:rPr>
        <w:t>Each extra is an Apaleo service and appears on the enhancements page of the booking flow.</w:t>
      </w:r>
    </w:p>
    <w:tbl>
      <w:tblPr>
        <w:tblW w:type="dxa" w:w="9360"/>
        <w:tblLayout w:type="fixed"/>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700"/>
        <w:gridCol w:w="1300"/>
        <w:gridCol w:w="2560"/>
        <w:gridCol w:w="2800"/>
      </w:tblGrid>
      <w:tr>
        <w:tc>
          <w:tcPr>
            <w:tcW w:type="dxa" w:w="27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Extra</w:t>
            </w:r>
          </w:p>
        </w:tc>
        <w:tc>
          <w:tcPr>
            <w:tcW w:type="dxa" w:w="13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KES</w:t>
            </w:r>
          </w:p>
        </w:tc>
        <w:tc>
          <w:tcPr>
            <w:tcW w:type="dxa" w:w="256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Priced</w:t>
            </w:r>
          </w:p>
        </w:tc>
        <w:tc>
          <w:tcPr>
            <w:tcW w:type="dxa" w:w="2800"/>
            <w:shd w:val="clear" w:color="auto" w:fill="2F6F5E"/>
            <w:tcMar>
              <w:top w:w="60" w:type="dxa"/>
              <w:left w:w="110" w:type="dxa"/>
              <w:bottom w:w="60" w:type="dxa"/>
              <w:right w:w="110" w:type="dxa"/>
            </w:tcMar>
          </w:tcPr>
          <w:p>
            <w:pPr>
              <w:spacing w:before="0" w:after="0"/>
            </w:pPr>
            <w:r/>
            <w:r>
              <w:rPr>
                <w:rFonts w:ascii="Arial" w:hAnsi="Arial" w:eastAsia="Arial"/>
                <w:b/>
                <w:i w:val="0"/>
                <w:color w:val="FFFFFF"/>
                <w:sz w:val="19"/>
              </w:rPr>
              <w:t>When</w:t>
            </w:r>
          </w:p>
        </w:tc>
      </w:tr>
      <w:tr>
        <w:tc>
          <w:tcPr>
            <w:tcW w:type="dxa" w:w="2700"/>
            <w:shd w:val="clear" w:color="auto" w:fill="FFFFFF"/>
            <w:tcMar>
              <w:top w:w="60" w:type="dxa"/>
              <w:left w:w="110" w:type="dxa"/>
              <w:bottom w:w="60" w:type="dxa"/>
              <w:right w:w="110" w:type="dxa"/>
            </w:tcMar>
          </w:tcPr>
          <w:p>
            <w:pPr>
              <w:spacing w:before="0" w:after="0"/>
            </w:pPr>
            <w:r/>
            <w:r>
              <w:rPr>
                <w:rFonts w:ascii="Arial" w:hAnsi="Arial" w:eastAsia="Arial"/>
                <w:b w:val="0"/>
                <w:i w:val="0"/>
                <w:sz w:val="19"/>
              </w:rPr>
              <w:t>Early Check-In</w:t>
            </w:r>
          </w:p>
        </w:tc>
        <w:tc>
          <w:tcPr>
            <w:tcW w:type="dxa" w:w="1300"/>
            <w:shd w:val="clear" w:color="auto" w:fill="FFFFFF"/>
            <w:tcMar>
              <w:top w:w="60" w:type="dxa"/>
              <w:left w:w="110" w:type="dxa"/>
              <w:bottom w:w="60" w:type="dxa"/>
              <w:right w:w="110" w:type="dxa"/>
            </w:tcMar>
          </w:tcPr>
          <w:p>
            <w:pPr>
              <w:spacing w:before="0" w:after="0"/>
            </w:pPr>
            <w:r/>
            <w:r>
              <w:rPr>
                <w:rFonts w:ascii="Arial" w:hAnsi="Arial" w:eastAsia="Arial"/>
                <w:b w:val="0"/>
                <w:i w:val="0"/>
                <w:sz w:val="19"/>
              </w:rPr>
              <w:t>4,500</w:t>
            </w:r>
          </w:p>
        </w:tc>
        <w:tc>
          <w:tcPr>
            <w:tcW w:type="dxa" w:w="2560"/>
            <w:shd w:val="clear" w:color="auto" w:fill="FFFFFF"/>
            <w:tcMar>
              <w:top w:w="60" w:type="dxa"/>
              <w:left w:w="110" w:type="dxa"/>
              <w:bottom w:w="60" w:type="dxa"/>
              <w:right w:w="110" w:type="dxa"/>
            </w:tcMar>
          </w:tcPr>
          <w:p>
            <w:pPr>
              <w:spacing w:before="0" w:after="0"/>
            </w:pPr>
            <w:r/>
            <w:r>
              <w:rPr>
                <w:rFonts w:ascii="Arial" w:hAnsi="Arial" w:eastAsia="Arial"/>
                <w:b w:val="0"/>
                <w:i w:val="0"/>
                <w:sz w:val="19"/>
              </w:rPr>
              <w:t>Per lodge</w:t>
            </w:r>
          </w:p>
        </w:tc>
        <w:tc>
          <w:tcPr>
            <w:tcW w:type="dxa" w:w="2800"/>
            <w:shd w:val="clear" w:color="auto" w:fill="FFFFFF"/>
            <w:tcMar>
              <w:top w:w="60" w:type="dxa"/>
              <w:left w:w="110" w:type="dxa"/>
              <w:bottom w:w="60" w:type="dxa"/>
              <w:right w:w="110" w:type="dxa"/>
            </w:tcMar>
          </w:tcPr>
          <w:p>
            <w:pPr>
              <w:spacing w:before="0" w:after="0"/>
            </w:pPr>
            <w:r/>
            <w:r>
              <w:rPr>
                <w:rFonts w:ascii="Arial" w:hAnsi="Arial" w:eastAsia="Arial"/>
                <w:b w:val="0"/>
                <w:i w:val="0"/>
                <w:sz w:val="19"/>
              </w:rPr>
              <w:t>Arrival day</w:t>
            </w:r>
          </w:p>
        </w:tc>
      </w:tr>
      <w:tr>
        <w:tc>
          <w:tcPr>
            <w:tcW w:type="dxa" w:w="2700"/>
            <w:shd w:val="clear" w:color="auto" w:fill="EAF3F0"/>
            <w:tcMar>
              <w:top w:w="60" w:type="dxa"/>
              <w:left w:w="110" w:type="dxa"/>
              <w:bottom w:w="60" w:type="dxa"/>
              <w:right w:w="110" w:type="dxa"/>
            </w:tcMar>
          </w:tcPr>
          <w:p>
            <w:pPr>
              <w:spacing w:before="0" w:after="0"/>
            </w:pPr>
            <w:r/>
            <w:r>
              <w:rPr>
                <w:rFonts w:ascii="Arial" w:hAnsi="Arial" w:eastAsia="Arial"/>
                <w:b w:val="0"/>
                <w:i w:val="0"/>
                <w:sz w:val="19"/>
              </w:rPr>
              <w:t>Grocery Welcome Pack</w:t>
            </w:r>
          </w:p>
        </w:tc>
        <w:tc>
          <w:tcPr>
            <w:tcW w:type="dxa" w:w="1300"/>
            <w:shd w:val="clear" w:color="auto" w:fill="EAF3F0"/>
            <w:tcMar>
              <w:top w:w="60" w:type="dxa"/>
              <w:left w:w="110" w:type="dxa"/>
              <w:bottom w:w="60" w:type="dxa"/>
              <w:right w:w="110" w:type="dxa"/>
            </w:tcMar>
          </w:tcPr>
          <w:p>
            <w:pPr>
              <w:spacing w:before="0" w:after="0"/>
            </w:pPr>
            <w:r/>
            <w:r>
              <w:rPr>
                <w:rFonts w:ascii="Arial" w:hAnsi="Arial" w:eastAsia="Arial"/>
                <w:b w:val="0"/>
                <w:i w:val="0"/>
                <w:sz w:val="19"/>
              </w:rPr>
              <w:t>3,500</w:t>
            </w:r>
          </w:p>
        </w:tc>
        <w:tc>
          <w:tcPr>
            <w:tcW w:type="dxa" w:w="2560"/>
            <w:shd w:val="clear" w:color="auto" w:fill="EAF3F0"/>
            <w:tcMar>
              <w:top w:w="60" w:type="dxa"/>
              <w:left w:w="110" w:type="dxa"/>
              <w:bottom w:w="60" w:type="dxa"/>
              <w:right w:w="110" w:type="dxa"/>
            </w:tcMar>
          </w:tcPr>
          <w:p>
            <w:pPr>
              <w:spacing w:before="0" w:after="0"/>
            </w:pPr>
            <w:r/>
            <w:r>
              <w:rPr>
                <w:rFonts w:ascii="Arial" w:hAnsi="Arial" w:eastAsia="Arial"/>
                <w:b w:val="0"/>
                <w:i w:val="0"/>
                <w:sz w:val="19"/>
              </w:rPr>
              <w:t>Per lodge</w:t>
            </w:r>
          </w:p>
        </w:tc>
        <w:tc>
          <w:tcPr>
            <w:tcW w:type="dxa" w:w="2800"/>
            <w:shd w:val="clear" w:color="auto" w:fill="EAF3F0"/>
            <w:tcMar>
              <w:top w:w="60" w:type="dxa"/>
              <w:left w:w="110" w:type="dxa"/>
              <w:bottom w:w="60" w:type="dxa"/>
              <w:right w:w="110" w:type="dxa"/>
            </w:tcMar>
          </w:tcPr>
          <w:p>
            <w:pPr>
              <w:spacing w:before="0" w:after="0"/>
            </w:pPr>
            <w:r/>
            <w:r>
              <w:rPr>
                <w:rFonts w:ascii="Arial" w:hAnsi="Arial" w:eastAsia="Arial"/>
                <w:b w:val="0"/>
                <w:i w:val="0"/>
                <w:sz w:val="19"/>
              </w:rPr>
              <w:t>Arrival day</w:t>
            </w:r>
          </w:p>
        </w:tc>
      </w:tr>
      <w:tr>
        <w:tc>
          <w:tcPr>
            <w:tcW w:type="dxa" w:w="2700"/>
            <w:shd w:val="clear" w:color="auto" w:fill="FFFFFF"/>
            <w:tcMar>
              <w:top w:w="60" w:type="dxa"/>
              <w:left w:w="110" w:type="dxa"/>
              <w:bottom w:w="60" w:type="dxa"/>
              <w:right w:w="110" w:type="dxa"/>
            </w:tcMar>
          </w:tcPr>
          <w:p>
            <w:pPr>
              <w:spacing w:before="0" w:after="0"/>
            </w:pPr>
            <w:r/>
            <w:r>
              <w:rPr>
                <w:rFonts w:ascii="Arial" w:hAnsi="Arial" w:eastAsia="Arial"/>
                <w:b w:val="0"/>
                <w:i w:val="0"/>
                <w:sz w:val="19"/>
              </w:rPr>
              <w:t>Firewood &amp; BBQ Pack</w:t>
            </w:r>
          </w:p>
        </w:tc>
        <w:tc>
          <w:tcPr>
            <w:tcW w:type="dxa" w:w="1300"/>
            <w:shd w:val="clear" w:color="auto" w:fill="FFFFFF"/>
            <w:tcMar>
              <w:top w:w="60" w:type="dxa"/>
              <w:left w:w="110" w:type="dxa"/>
              <w:bottom w:w="60" w:type="dxa"/>
              <w:right w:w="110" w:type="dxa"/>
            </w:tcMar>
          </w:tcPr>
          <w:p>
            <w:pPr>
              <w:spacing w:before="0" w:after="0"/>
            </w:pPr>
            <w:r/>
            <w:r>
              <w:rPr>
                <w:rFonts w:ascii="Arial" w:hAnsi="Arial" w:eastAsia="Arial"/>
                <w:b w:val="0"/>
                <w:i w:val="0"/>
                <w:sz w:val="19"/>
              </w:rPr>
              <w:t>2,200</w:t>
            </w:r>
          </w:p>
        </w:tc>
        <w:tc>
          <w:tcPr>
            <w:tcW w:type="dxa" w:w="2560"/>
            <w:shd w:val="clear" w:color="auto" w:fill="FFFFFF"/>
            <w:tcMar>
              <w:top w:w="60" w:type="dxa"/>
              <w:left w:w="110" w:type="dxa"/>
              <w:bottom w:w="60" w:type="dxa"/>
              <w:right w:w="110" w:type="dxa"/>
            </w:tcMar>
          </w:tcPr>
          <w:p>
            <w:pPr>
              <w:spacing w:before="0" w:after="0"/>
            </w:pPr>
            <w:r/>
            <w:r>
              <w:rPr>
                <w:rFonts w:ascii="Arial" w:hAnsi="Arial" w:eastAsia="Arial"/>
                <w:b w:val="0"/>
                <w:i w:val="0"/>
                <w:sz w:val="19"/>
              </w:rPr>
              <w:t>Per lodge</w:t>
            </w:r>
          </w:p>
        </w:tc>
        <w:tc>
          <w:tcPr>
            <w:tcW w:type="dxa" w:w="2800"/>
            <w:shd w:val="clear" w:color="auto" w:fill="FFFFFF"/>
            <w:tcMar>
              <w:top w:w="60" w:type="dxa"/>
              <w:left w:w="110" w:type="dxa"/>
              <w:bottom w:w="60" w:type="dxa"/>
              <w:right w:w="110" w:type="dxa"/>
            </w:tcMar>
          </w:tcPr>
          <w:p>
            <w:pPr>
              <w:spacing w:before="0" w:after="0"/>
            </w:pPr>
            <w:r/>
            <w:r>
              <w:rPr>
                <w:rFonts w:ascii="Arial" w:hAnsi="Arial" w:eastAsia="Arial"/>
                <w:b w:val="0"/>
                <w:i w:val="0"/>
                <w:sz w:val="19"/>
              </w:rPr>
              <w:t>Any day</w:t>
            </w:r>
          </w:p>
        </w:tc>
      </w:tr>
      <w:tr>
        <w:tc>
          <w:tcPr>
            <w:tcW w:type="dxa" w:w="2700"/>
            <w:shd w:val="clear" w:color="auto" w:fill="EAF3F0"/>
            <w:tcMar>
              <w:top w:w="60" w:type="dxa"/>
              <w:left w:w="110" w:type="dxa"/>
              <w:bottom w:w="60" w:type="dxa"/>
              <w:right w:w="110" w:type="dxa"/>
            </w:tcMar>
          </w:tcPr>
          <w:p>
            <w:pPr>
              <w:spacing w:before="0" w:after="0"/>
            </w:pPr>
            <w:r/>
            <w:r>
              <w:rPr>
                <w:rFonts w:ascii="Arial" w:hAnsi="Arial" w:eastAsia="Arial"/>
                <w:b w:val="0"/>
                <w:i w:val="0"/>
                <w:sz w:val="19"/>
              </w:rPr>
              <w:t>Cycle Hire</w:t>
            </w:r>
          </w:p>
        </w:tc>
        <w:tc>
          <w:tcPr>
            <w:tcW w:type="dxa" w:w="1300"/>
            <w:shd w:val="clear" w:color="auto" w:fill="EAF3F0"/>
            <w:tcMar>
              <w:top w:w="60" w:type="dxa"/>
              <w:left w:w="110" w:type="dxa"/>
              <w:bottom w:w="60" w:type="dxa"/>
              <w:right w:w="110" w:type="dxa"/>
            </w:tcMar>
          </w:tcPr>
          <w:p>
            <w:pPr>
              <w:spacing w:before="0" w:after="0"/>
            </w:pPr>
            <w:r/>
            <w:r>
              <w:rPr>
                <w:rFonts w:ascii="Arial" w:hAnsi="Arial" w:eastAsia="Arial"/>
                <w:b w:val="0"/>
                <w:i w:val="0"/>
                <w:sz w:val="19"/>
              </w:rPr>
              <w:t>800</w:t>
            </w:r>
          </w:p>
        </w:tc>
        <w:tc>
          <w:tcPr>
            <w:tcW w:type="dxa" w:w="2560"/>
            <w:shd w:val="clear" w:color="auto" w:fill="EAF3F0"/>
            <w:tcMar>
              <w:top w:w="60" w:type="dxa"/>
              <w:left w:w="110" w:type="dxa"/>
              <w:bottom w:w="60" w:type="dxa"/>
              <w:right w:w="110" w:type="dxa"/>
            </w:tcMar>
          </w:tcPr>
          <w:p>
            <w:pPr>
              <w:spacing w:before="0" w:after="0"/>
            </w:pPr>
            <w:r/>
            <w:r>
              <w:rPr>
                <w:rFonts w:ascii="Arial" w:hAnsi="Arial" w:eastAsia="Arial"/>
                <w:b w:val="0"/>
                <w:i w:val="0"/>
                <w:sz w:val="19"/>
              </w:rPr>
              <w:t>Per person per night</w:t>
            </w:r>
          </w:p>
        </w:tc>
        <w:tc>
          <w:tcPr>
            <w:tcW w:type="dxa" w:w="2800"/>
            <w:shd w:val="clear" w:color="auto" w:fill="EAF3F0"/>
            <w:tcMar>
              <w:top w:w="60" w:type="dxa"/>
              <w:left w:w="110" w:type="dxa"/>
              <w:bottom w:w="60" w:type="dxa"/>
              <w:right w:w="110" w:type="dxa"/>
            </w:tcMar>
          </w:tcPr>
          <w:p>
            <w:pPr>
              <w:spacing w:before="0" w:after="0"/>
            </w:pPr>
            <w:r/>
            <w:r>
              <w:rPr>
                <w:rFonts w:ascii="Arial" w:hAnsi="Arial" w:eastAsia="Arial"/>
                <w:b w:val="0"/>
                <w:i w:val="0"/>
                <w:sz w:val="19"/>
              </w:rPr>
              <w:t>Any day</w:t>
            </w:r>
          </w:p>
        </w:tc>
      </w:tr>
      <w:tr>
        <w:tc>
          <w:tcPr>
            <w:tcW w:type="dxa" w:w="2700"/>
            <w:shd w:val="clear" w:color="auto" w:fill="FFFFFF"/>
            <w:tcMar>
              <w:top w:w="60" w:type="dxa"/>
              <w:left w:w="110" w:type="dxa"/>
              <w:bottom w:w="60" w:type="dxa"/>
              <w:right w:w="110" w:type="dxa"/>
            </w:tcMar>
          </w:tcPr>
          <w:p>
            <w:pPr>
              <w:spacing w:before="0" w:after="0"/>
            </w:pPr>
            <w:r/>
            <w:r>
              <w:rPr>
                <w:rFonts w:ascii="Arial" w:hAnsi="Arial" w:eastAsia="Arial"/>
                <w:b w:val="0"/>
                <w:i w:val="0"/>
                <w:sz w:val="19"/>
              </w:rPr>
              <w:t>Spa Day Pass</w:t>
            </w:r>
          </w:p>
        </w:tc>
        <w:tc>
          <w:tcPr>
            <w:tcW w:type="dxa" w:w="1300"/>
            <w:shd w:val="clear" w:color="auto" w:fill="FFFFFF"/>
            <w:tcMar>
              <w:top w:w="60" w:type="dxa"/>
              <w:left w:w="110" w:type="dxa"/>
              <w:bottom w:w="60" w:type="dxa"/>
              <w:right w:w="110" w:type="dxa"/>
            </w:tcMar>
          </w:tcPr>
          <w:p>
            <w:pPr>
              <w:spacing w:before="0" w:after="0"/>
            </w:pPr>
            <w:r/>
            <w:r>
              <w:rPr>
                <w:rFonts w:ascii="Arial" w:hAnsi="Arial" w:eastAsia="Arial"/>
                <w:b w:val="0"/>
                <w:i w:val="0"/>
                <w:sz w:val="19"/>
              </w:rPr>
              <w:t>1,500</w:t>
            </w:r>
          </w:p>
        </w:tc>
        <w:tc>
          <w:tcPr>
            <w:tcW w:type="dxa" w:w="2560"/>
            <w:shd w:val="clear" w:color="auto" w:fill="FFFFFF"/>
            <w:tcMar>
              <w:top w:w="60" w:type="dxa"/>
              <w:left w:w="110" w:type="dxa"/>
              <w:bottom w:w="60" w:type="dxa"/>
              <w:right w:w="110" w:type="dxa"/>
            </w:tcMar>
          </w:tcPr>
          <w:p>
            <w:pPr>
              <w:spacing w:before="0" w:after="0"/>
            </w:pPr>
            <w:r/>
            <w:r>
              <w:rPr>
                <w:rFonts w:ascii="Arial" w:hAnsi="Arial" w:eastAsia="Arial"/>
                <w:b w:val="0"/>
                <w:i w:val="0"/>
                <w:sz w:val="19"/>
              </w:rPr>
              <w:t>Per person per night</w:t>
            </w:r>
          </w:p>
        </w:tc>
        <w:tc>
          <w:tcPr>
            <w:tcW w:type="dxa" w:w="2800"/>
            <w:shd w:val="clear" w:color="auto" w:fill="FFFFFF"/>
            <w:tcMar>
              <w:top w:w="60" w:type="dxa"/>
              <w:left w:w="110" w:type="dxa"/>
              <w:bottom w:w="60" w:type="dxa"/>
              <w:right w:w="110" w:type="dxa"/>
            </w:tcMar>
          </w:tcPr>
          <w:p>
            <w:pPr>
              <w:spacing w:before="0" w:after="0"/>
            </w:pPr>
            <w:r/>
            <w:r>
              <w:rPr>
                <w:rFonts w:ascii="Arial" w:hAnsi="Arial" w:eastAsia="Arial"/>
                <w:b w:val="0"/>
                <w:i w:val="0"/>
                <w:sz w:val="19"/>
              </w:rPr>
              <w:t>Any day</w:t>
            </w:r>
          </w:p>
        </w:tc>
      </w:tr>
    </w:tbl>
    <w:p>
      <w:pPr>
        <w:spacing w:before="0" w:after="40"/>
      </w:pPr>
    </w:p>
    <w:p>
      <w:pPr>
        <w:pStyle w:val="Heading2"/>
      </w:pPr>
      <w:r>
        <w:t>1.4 The turnover calendar</w:t>
      </w:r>
    </w:p>
    <w:p>
      <w:pPr>
        <w:spacing w:before="0" w:after="120"/>
      </w:pPr>
      <w:r>
        <w:rPr>
          <w:rFonts w:ascii="Arial" w:hAnsi="Arial" w:eastAsia="Arial"/>
          <w:b w:val="0"/>
          <w:i w:val="0"/>
          <w:sz w:val="20"/>
        </w:rPr>
        <w:t>The script closes arrival and departure on every date except Fridays and Mondays, across a rolling window. That reproduces the Center Parcs rule that stays can only start or end on a turnover day, so the natural break lengths are a Friday-to-Monday short break, a Monday-to-Friday midweek break, and full weeks, with nothing invalid in between.</w:t>
      </w:r>
    </w:p>
    <w:p>
      <w:pPr>
        <w:pStyle w:val="Heading1"/>
      </w:pPr>
      <w:r>
        <w:t>2. The Big Lessons</w:t>
      </w:r>
    </w:p>
    <w:p>
      <w:pPr>
        <w:spacing w:before="0" w:after="120"/>
      </w:pPr>
      <w:r>
        <w:rPr>
          <w:rFonts w:ascii="Arial" w:hAnsi="Arial" w:eastAsia="Arial"/>
          <w:b w:val="0"/>
          <w:i w:val="0"/>
          <w:sz w:val="20"/>
        </w:rPr>
        <w:t>These are the things that cost the most time and would cost it again. If you read nothing else, read these.</w:t>
      </w: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Lesson 1: Kenya is not a supported country in Apaleo.</w:t>
            </w:r>
            <w:r>
              <w:rPr>
                <w:rFonts w:ascii="Arial" w:hAnsi="Arial" w:eastAsia="Arial"/>
                <w:b w:val="0"/>
                <w:i w:val="0"/>
                <w:color w:val="5C4A1A"/>
                <w:sz w:val="20"/>
              </w:rPr>
              <w:t xml:space="preserve">  Apaleo is a European platform. When the property is created with country code KE, it is rejected outright. The workaround for the sandbox is to set the country to DE (Germany) and the time zone to Europe/Berlin. This is invisible to guests and does not affect the booking flow. For production, this must be raised with Apaleo directly, as their enterprise onboarding handles non-standard markets. Do not assume the sandbox behaviour is the final answer here.</w:t>
            </w:r>
          </w:p>
        </w:tc>
      </w:tr>
    </w:tbl>
    <w:p>
      <w:pPr>
        <w:spacing w:before="0" w:after="0"/>
      </w:pP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Lesson 2: KES the currency is fine; KE the country is not.</w:t>
            </w:r>
            <w:r>
              <w:rPr>
                <w:rFonts w:ascii="Arial" w:hAnsi="Arial" w:eastAsia="Arial"/>
                <w:b w:val="0"/>
                <w:i w:val="0"/>
                <w:color w:val="5C4A1A"/>
                <w:sz w:val="20"/>
              </w:rPr>
              <w:t xml:space="preserve">  These are two different fields and Apaleo treats them differently. The Kenyan Shilling (KES) is accepted as a property currency without complaint. It was only the country code that was refused. So the demo runs on real KES pricing with a German country label, which is an odd but harmless combination for a sandbox.</w:t>
            </w:r>
          </w:p>
        </w:tc>
      </w:tr>
    </w:tbl>
    <w:p>
      <w:pPr>
        <w:spacing w:before="0" w:after="0"/>
      </w:pP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Lesson 3: Apaleo's docs under-document mandatory fields.</w:t>
            </w:r>
            <w:r>
              <w:rPr>
                <w:rFonts w:ascii="Arial" w:hAnsi="Arial" w:eastAsia="Arial"/>
                <w:b w:val="0"/>
                <w:i w:val="0"/>
                <w:color w:val="5C4A1A"/>
                <w:sz w:val="20"/>
              </w:rPr>
              <w:t xml:space="preserve">  Almost every object rejected the first attempt because of required fields the guides never mention: properties need company name, tax id, commercial register entry, payment terms, and default check-in and check-out times; units need a description and maxPersons; rate plans need a guarantee type, a cancellation policy, a no-show policy, a time-slice definition, and accounting configs. The reliable way to find the truth is to read an existing object, not the docs.</w:t>
            </w:r>
          </w:p>
        </w:tc>
      </w:tr>
    </w:tbl>
    <w:p>
      <w:pPr>
        <w:spacing w:before="0" w:after="0"/>
      </w:pP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Lesson 4: Read an existing object to learn the schema.</w:t>
            </w:r>
            <w:r>
              <w:rPr>
                <w:rFonts w:ascii="Arial" w:hAnsi="Arial" w:eastAsia="Arial"/>
                <w:b w:val="0"/>
                <w:i w:val="0"/>
                <w:color w:val="5C4A1A"/>
                <w:sz w:val="20"/>
              </w:rPr>
              <w:t xml:space="preserve">  The single most useful technique was pulling the Apaleo sample property, Hotel Berlin, and its rate plans and services, and copying their exact shape. GET a working object, mirror its structure, done. This resolved the rate plan accounting configs and the whole service schema in one look each, after guessing had failed repeatedly.</w:t>
            </w:r>
          </w:p>
        </w:tc>
      </w:tr>
    </w:tbl>
    <w:p>
      <w:pPr>
        <w:spacing w:before="0" w:after="0"/>
      </w:pP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Lesson 5: The pricing and restriction endpoints are severely rate-limited.</w:t>
            </w:r>
            <w:r>
              <w:rPr>
                <w:rFonts w:ascii="Arial" w:hAnsi="Arial" w:eastAsia="Arial"/>
                <w:b w:val="0"/>
                <w:i w:val="0"/>
                <w:color w:val="5C4A1A"/>
                <w:sz w:val="20"/>
              </w:rPr>
              <w:t xml:space="preserve">  Apaleo allows only 8 calls per 20 minutes on the rate-setting endpoint. Setting prices night-by-night, or writing restrictions in small chunks, blows through that instantly and locks you out for 20 minutes. The fix is to make as few calls as possible: one price PUT per rate plan covering the whole window, and one single PUT for the entire restriction calendar. Design for few, large calls, never many small ones.</w:t>
            </w:r>
          </w:p>
        </w:tc>
      </w:tr>
    </w:tbl>
    <w:p>
      <w:pPr>
        <w:spacing w:before="0" w:after="0"/>
      </w:pP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Lesson 6: Restrictions are not a separate endpoint. They live on the rate.</w:t>
            </w:r>
            <w:r>
              <w:rPr>
                <w:rFonts w:ascii="Arial" w:hAnsi="Arial" w:eastAsia="Arial"/>
                <w:b w:val="0"/>
                <w:i w:val="0"/>
                <w:color w:val="5C4A1A"/>
                <w:sz w:val="20"/>
              </w:rPr>
              <w:t xml:space="preserve">  The Friday and Monday turnover was the last thing to click. There is no restrictions endpoint. Closed-on-arrival and closed-on-departure are set inside each nightly rate slice, in the very same PUT that sets the price. Trying to POST them to a separate restrictions URL returned an empty error, which was the sign the endpoint did not exist at all. Folding the turnover into the price call removed a whole step and a whole batch of API calls.</w:t>
            </w:r>
          </w:p>
        </w:tc>
      </w:tr>
    </w:tbl>
    <w:p>
      <w:pPr>
        <w:spacing w:before="0" w:after="0"/>
      </w:pPr>
    </w:p>
    <w:tbl>
      <w:tblPr>
        <w:tblW w:type="dxa" w:w="9360"/>
        <w:tblLayout w:type="fixed"/>
        <w:tblLook w:firstColumn="1" w:firstRow="1" w:lastColumn="0" w:lastRow="0" w:noHBand="0" w:noVBand="1" w:val="04A0"/>
        <w:tblLayout w:type="fixed"/>
      </w:tblPr>
      <w:tblGrid>
        <w:gridCol w:w="9360"/>
      </w:tblGrid>
      <w:tr>
        <w:tc>
          <w:tcPr>
            <w:tcW w:type="dxa" w:w="9360"/>
            <w:shd w:val="clear" w:color="auto" w:fill="FEF9EE"/>
            <w:tcBorders>
              <w:top w:val="single" w:sz="8" w:space="0" w:color="C8952A"/>
              <w:left w:val="single" w:sz="8" w:space="0" w:color="C8952A"/>
              <w:bottom w:val="single" w:sz="8" w:space="0" w:color="C8952A"/>
              <w:right w:val="single" w:sz="8" w:space="0" w:color="C8952A"/>
            </w:tcBorders>
            <w:tcMar>
              <w:top w:w="140" w:type="dxa"/>
              <w:left w:w="180" w:type="dxa"/>
              <w:bottom w:w="140" w:type="dxa"/>
              <w:right w:w="180" w:type="dxa"/>
            </w:tcMar>
          </w:tcPr>
          <w:p>
            <w:pPr>
              <w:spacing w:before="0" w:after="0"/>
            </w:pPr>
            <w:r/>
            <w:r>
              <w:rPr>
                <w:rFonts w:ascii="Arial" w:hAnsi="Arial" w:eastAsia="Arial"/>
                <w:b/>
                <w:i w:val="0"/>
                <w:color w:val="5C4A1A"/>
                <w:sz w:val="20"/>
              </w:rPr>
              <w:t>Lesson 7: For prices and restrictions, fetch the slices first, then fill them in.</w:t>
            </w:r>
            <w:r>
              <w:rPr>
                <w:rFonts w:ascii="Arial" w:hAnsi="Arial" w:eastAsia="Arial"/>
                <w:b w:val="0"/>
                <w:i w:val="0"/>
                <w:color w:val="5C4A1A"/>
                <w:sz w:val="20"/>
              </w:rPr>
              <w:t xml:space="preserve">  Apaleo builds its nightly time slices around the property's check-in and check-out times (here 2 pm and 11 am), not midnight. Any slice boundary you construct by hand is rejected. The pattern that works: GET the existing slices for the date window, then PUT them back unchanged except for the price and the restriction flags you want. One GET and one PUT per rate plan does both jobs and stays within the rate limit.</w:t>
            </w:r>
          </w:p>
        </w:tc>
      </w:tr>
    </w:tbl>
    <w:p>
      <w:pPr>
        <w:spacing w:before="0" w:after="0"/>
      </w:pPr>
    </w:p>
    <w:p>
      <w:pPr>
        <w:pStyle w:val="Heading1"/>
      </w:pPr>
      <w:r>
        <w:t>3. API Field Notes, by Object</w:t>
      </w:r>
    </w:p>
    <w:p>
      <w:pPr>
        <w:spacing w:before="0" w:after="120"/>
      </w:pPr>
      <w:r>
        <w:rPr>
          <w:rFonts w:ascii="Arial" w:hAnsi="Arial" w:eastAsia="Arial"/>
          <w:b w:val="0"/>
          <w:i w:val="0"/>
          <w:sz w:val="20"/>
        </w:rPr>
        <w:t>The specific field-level gotchas, in the order the script creates things. Keep this next to the code if you touch provisioning again.</w:t>
      </w:r>
    </w:p>
    <w:p>
      <w:pPr>
        <w:pStyle w:val="Heading2"/>
      </w:pPr>
      <w:r>
        <w:t>3.1 Property</w:t>
      </w:r>
    </w:p>
    <w:p>
      <w:pPr>
        <w:pStyle w:val="ListBullet"/>
        <w:spacing w:before="0" w:after="60"/>
      </w:pPr>
      <w:r>
        <w:rPr>
          <w:rFonts w:ascii="Arial" w:hAnsi="Arial" w:eastAsia="Arial"/>
          <w:b/>
          <w:i w:val="0"/>
          <w:sz w:val="20"/>
        </w:rPr>
        <w:t>Translations are dictionaries, not strings.</w:t>
      </w:r>
      <w:r>
        <w:rPr>
          <w:rFonts w:ascii="Arial" w:hAnsi="Arial" w:eastAsia="Arial"/>
          <w:b w:val="0"/>
          <w:i w:val="0"/>
          <w:sz w:val="20"/>
        </w:rPr>
        <w:t xml:space="preserve"> name and description must be objects like { en, de }, not plain text. And because the property sits in Germany, German (de) is a mandatory language alongside English.</w:t>
      </w:r>
    </w:p>
    <w:p>
      <w:pPr>
        <w:pStyle w:val="ListBullet"/>
        <w:spacing w:before="0" w:after="60"/>
      </w:pPr>
      <w:r>
        <w:rPr>
          <w:rFonts w:ascii="Arial" w:hAnsi="Arial" w:eastAsia="Arial"/>
          <w:b/>
          <w:i w:val="0"/>
          <w:sz w:val="20"/>
        </w:rPr>
        <w:t>Several hidden required fields.</w:t>
      </w:r>
      <w:r>
        <w:rPr>
          <w:rFonts w:ascii="Arial" w:hAnsi="Arial" w:eastAsia="Arial"/>
          <w:b w:val="0"/>
          <w:i w:val="0"/>
          <w:sz w:val="20"/>
        </w:rPr>
        <w:t xml:space="preserve"> companyName, taxId, commercialRegisterEntry, paymentTerms (also translated), defaultCheckInTime, and defaultCheckOutTime are all required, though none appear in the basic examples.</w:t>
      </w:r>
    </w:p>
    <w:p>
      <w:pPr>
        <w:pStyle w:val="ListBullet"/>
        <w:spacing w:before="0" w:after="60"/>
      </w:pPr>
      <w:r>
        <w:rPr>
          <w:rFonts w:ascii="Arial" w:hAnsi="Arial" w:eastAsia="Arial"/>
          <w:b/>
          <w:i w:val="0"/>
          <w:sz w:val="20"/>
        </w:rPr>
        <w:t>Country and time zone must be a supported pair.</w:t>
      </w:r>
      <w:r>
        <w:rPr>
          <w:rFonts w:ascii="Arial" w:hAnsi="Arial" w:eastAsia="Arial"/>
          <w:b w:val="0"/>
          <w:i w:val="0"/>
          <w:sz w:val="20"/>
        </w:rPr>
        <w:t xml:space="preserve"> KE fails; DE with Europe/Berlin works.</w:t>
      </w:r>
    </w:p>
    <w:p>
      <w:pPr>
        <w:pStyle w:val="Heading2"/>
      </w:pPr>
      <w:r>
        <w:t>3.2 Unit groups and units</w:t>
      </w:r>
    </w:p>
    <w:p>
      <w:pPr>
        <w:pStyle w:val="ListBullet"/>
        <w:spacing w:before="0" w:after="60"/>
      </w:pPr>
      <w:r>
        <w:rPr>
          <w:rFonts w:ascii="Arial" w:hAnsi="Arial" w:eastAsia="Arial"/>
          <w:b/>
          <w:i w:val="0"/>
          <w:sz w:val="20"/>
        </w:rPr>
        <w:t>Unit group name and description are translated objects.</w:t>
      </w:r>
      <w:r>
        <w:rPr>
          <w:rFonts w:ascii="Arial" w:hAnsi="Arial" w:eastAsia="Arial"/>
          <w:b w:val="0"/>
          <w:i w:val="0"/>
          <w:sz w:val="20"/>
        </w:rPr>
        <w:t xml:space="preserve"> Same { en, de } rule, since these show to guests.</w:t>
      </w:r>
    </w:p>
    <w:p>
      <w:pPr>
        <w:pStyle w:val="ListBullet"/>
        <w:spacing w:before="0" w:after="60"/>
      </w:pPr>
      <w:r>
        <w:rPr>
          <w:rFonts w:ascii="Arial" w:hAnsi="Arial" w:eastAsia="Arial"/>
          <w:b/>
          <w:i w:val="0"/>
          <w:sz w:val="20"/>
        </w:rPr>
        <w:t>Unit name is a plain string.</w:t>
      </w:r>
      <w:r>
        <w:rPr>
          <w:rFonts w:ascii="Arial" w:hAnsi="Arial" w:eastAsia="Arial"/>
          <w:b w:val="0"/>
          <w:i w:val="0"/>
          <w:sz w:val="20"/>
        </w:rPr>
        <w:t xml:space="preserve"> Units are internal, staff-facing records, so their name is not translated. This is the opposite of unit groups and easy to get wrong.</w:t>
      </w:r>
    </w:p>
    <w:p>
      <w:pPr>
        <w:pStyle w:val="ListBullet"/>
        <w:spacing w:before="0" w:after="60"/>
      </w:pPr>
      <w:r>
        <w:rPr>
          <w:rFonts w:ascii="Arial" w:hAnsi="Arial" w:eastAsia="Arial"/>
          <w:b/>
          <w:i w:val="0"/>
          <w:sz w:val="20"/>
        </w:rPr>
        <w:t>Units need description and maxPersons.</w:t>
      </w:r>
      <w:r>
        <w:rPr>
          <w:rFonts w:ascii="Arial" w:hAnsi="Arial" w:eastAsia="Arial"/>
          <w:b w:val="0"/>
          <w:i w:val="0"/>
          <w:sz w:val="20"/>
        </w:rPr>
        <w:t xml:space="preserve"> Both are required on each individual unit, not just the group.</w:t>
      </w:r>
    </w:p>
    <w:p>
      <w:pPr>
        <w:pStyle w:val="Heading2"/>
      </w:pPr>
      <w:r>
        <w:t>3.3 Rate plans</w:t>
      </w:r>
    </w:p>
    <w:p>
      <w:pPr>
        <w:pStyle w:val="ListBullet"/>
        <w:spacing w:before="0" w:after="60"/>
      </w:pPr>
      <w:r>
        <w:rPr>
          <w:rFonts w:ascii="Arial" w:hAnsi="Arial" w:eastAsia="Arial"/>
          <w:b/>
          <w:i w:val="0"/>
          <w:sz w:val="20"/>
        </w:rPr>
        <w:t>Codes allow only letters, numbers, and underscores.</w:t>
      </w:r>
      <w:r>
        <w:rPr>
          <w:rFonts w:ascii="Arial" w:hAnsi="Arial" w:eastAsia="Arial"/>
          <w:b w:val="0"/>
          <w:i w:val="0"/>
          <w:sz w:val="20"/>
        </w:rPr>
        <w:t xml:space="preserve"> A hyphen like WDL-FLEX is rejected. Use WDL_FLEX.</w:t>
      </w:r>
    </w:p>
    <w:p>
      <w:pPr>
        <w:pStyle w:val="ListBullet"/>
        <w:spacing w:before="0" w:after="60"/>
      </w:pPr>
      <w:r>
        <w:rPr>
          <w:rFonts w:ascii="Arial" w:hAnsi="Arial" w:eastAsia="Arial"/>
          <w:b/>
          <w:i w:val="0"/>
          <w:sz w:val="20"/>
        </w:rPr>
        <w:t>Policies are shared objects referenced by id.</w:t>
      </w:r>
      <w:r>
        <w:rPr>
          <w:rFonts w:ascii="Arial" w:hAnsi="Arial" w:eastAsia="Arial"/>
          <w:b w:val="0"/>
          <w:i w:val="0"/>
          <w:sz w:val="20"/>
        </w:rPr>
        <w:t xml:space="preserve"> The cancellation policy and no-show policy are not inline. Apaleo ships defaults on every property, so the script fetches the existing flexible and non-refundable policies and references their ids rather than creating new ones.</w:t>
      </w:r>
    </w:p>
    <w:p>
      <w:pPr>
        <w:pStyle w:val="ListBullet"/>
        <w:spacing w:before="0" w:after="60"/>
      </w:pPr>
      <w:r>
        <w:rPr>
          <w:rFonts w:ascii="Arial" w:hAnsi="Arial" w:eastAsia="Arial"/>
          <w:b/>
          <w:i w:val="0"/>
          <w:sz w:val="20"/>
        </w:rPr>
        <w:t>Time-slice definitions are auto-created.</w:t>
      </w:r>
      <w:r>
        <w:rPr>
          <w:rFonts w:ascii="Arial" w:hAnsi="Arial" w:eastAsia="Arial"/>
          <w:b w:val="0"/>
          <w:i w:val="0"/>
          <w:sz w:val="20"/>
        </w:rPr>
        <w:t xml:space="preserve"> Every property already has an OverNight definition. Fetch it and reference its id; do not try to create one.</w:t>
      </w:r>
    </w:p>
    <w:p>
      <w:pPr>
        <w:pStyle w:val="ListBullet"/>
        <w:spacing w:before="0" w:after="60"/>
      </w:pPr>
      <w:r>
        <w:rPr>
          <w:rFonts w:ascii="Arial" w:hAnsi="Arial" w:eastAsia="Arial"/>
          <w:b/>
          <w:i w:val="0"/>
          <w:sz w:val="20"/>
        </w:rPr>
        <w:t>The field is minGuaranteeType, not guaranteeType.</w:t>
      </w:r>
      <w:r>
        <w:rPr>
          <w:rFonts w:ascii="Arial" w:hAnsi="Arial" w:eastAsia="Arial"/>
          <w:b w:val="0"/>
          <w:i w:val="0"/>
          <w:sz w:val="20"/>
        </w:rPr>
        <w:t xml:space="preserve"> Small name difference, hard rejection.</w:t>
      </w:r>
    </w:p>
    <w:p>
      <w:pPr>
        <w:pStyle w:val="ListBullet"/>
        <w:spacing w:before="0" w:after="60"/>
      </w:pPr>
      <w:r>
        <w:rPr>
          <w:rFonts w:ascii="Arial" w:hAnsi="Arial" w:eastAsia="Arial"/>
          <w:b/>
          <w:i w:val="0"/>
          <w:sz w:val="20"/>
        </w:rPr>
        <w:t>Accounting configs are required.</w:t>
      </w:r>
      <w:r>
        <w:rPr>
          <w:rFonts w:ascii="Arial" w:hAnsi="Arial" w:eastAsia="Arial"/>
          <w:b w:val="0"/>
          <w:i w:val="0"/>
          <w:sz w:val="20"/>
        </w:rPr>
        <w:t xml:space="preserve"> An array with vatType, serviceType, and validFrom. Custom sub-accounts are disabled on this account, so do not send subAccountId.</w:t>
      </w:r>
    </w:p>
    <w:p>
      <w:pPr>
        <w:pStyle w:val="ListBullet"/>
        <w:spacing w:before="0" w:after="60"/>
      </w:pPr>
      <w:r>
        <w:rPr>
          <w:rFonts w:ascii="Arial" w:hAnsi="Arial" w:eastAsia="Arial"/>
          <w:b/>
          <w:i w:val="0"/>
          <w:sz w:val="20"/>
        </w:rPr>
        <w:t>Surcharges must cover every occupancy up to capacity.</w:t>
      </w:r>
      <w:r>
        <w:rPr>
          <w:rFonts w:ascii="Arial" w:hAnsi="Arial" w:eastAsia="Arial"/>
          <w:b w:val="0"/>
          <w:i w:val="0"/>
          <w:sz w:val="20"/>
        </w:rPr>
        <w:t xml:space="preserve"> For a lodge sleeping 4, prices for 2, 3, and 4 adults are required. Unity Parks prices per lodge, so these are all zero, which is the correct way to model flat per-lodge pricing.</w:t>
      </w:r>
    </w:p>
    <w:p>
      <w:pPr>
        <w:pStyle w:val="ListBullet"/>
        <w:spacing w:before="0" w:after="60"/>
      </w:pPr>
      <w:r>
        <w:rPr>
          <w:rFonts w:ascii="Arial" w:hAnsi="Arial" w:eastAsia="Arial"/>
          <w:b/>
          <w:i w:val="0"/>
          <w:sz w:val="20"/>
        </w:rPr>
        <w:t>The stored id is not what you guess.</w:t>
      </w:r>
      <w:r>
        <w:rPr>
          <w:rFonts w:ascii="Arial" w:hAnsi="Arial" w:eastAsia="Arial"/>
          <w:b w:val="0"/>
          <w:i w:val="0"/>
          <w:sz w:val="20"/>
        </w:rPr>
        <w:t xml:space="preserve"> A rate plan created as UPNV + WDL_FLEX is stored as UPNV-WDL_FLEX-WDL. Look it up by code and unit group rather than assuming the id.</w:t>
      </w:r>
    </w:p>
    <w:p>
      <w:pPr>
        <w:pStyle w:val="Heading2"/>
      </w:pPr>
      <w:r>
        <w:t>3.4 Prices and restrictions (one call)</w:t>
      </w:r>
    </w:p>
    <w:p>
      <w:pPr>
        <w:pStyle w:val="ListBullet"/>
        <w:spacing w:before="0" w:after="60"/>
      </w:pPr>
      <w:r>
        <w:rPr>
          <w:rFonts w:ascii="Arial" w:hAnsi="Arial" w:eastAsia="Arial"/>
          <w:b/>
          <w:i w:val="0"/>
          <w:sz w:val="20"/>
        </w:rPr>
        <w:t>Do not construct the time slices yourself.</w:t>
      </w:r>
      <w:r>
        <w:rPr>
          <w:rFonts w:ascii="Arial" w:hAnsi="Arial" w:eastAsia="Arial"/>
          <w:b w:val="0"/>
          <w:i w:val="0"/>
          <w:sz w:val="20"/>
        </w:rPr>
        <w:t xml:space="preserve"> Apaleo rejects hand-built slice boundaries, which use the property's check-in and check-out times, not midnight. Fetch the slices first, then reuse their exact from and to.</w:t>
      </w:r>
    </w:p>
    <w:p>
      <w:pPr>
        <w:pStyle w:val="ListBullet"/>
        <w:spacing w:before="0" w:after="60"/>
      </w:pPr>
      <w:r>
        <w:rPr>
          <w:rFonts w:ascii="Arial" w:hAnsi="Arial" w:eastAsia="Arial"/>
          <w:b/>
          <w:i w:val="0"/>
          <w:sz w:val="20"/>
        </w:rPr>
        <w:t>The price object is amount and currency.</w:t>
      </w:r>
      <w:r>
        <w:rPr>
          <w:rFonts w:ascii="Arial" w:hAnsi="Arial" w:eastAsia="Arial"/>
          <w:b w:val="0"/>
          <w:i w:val="0"/>
          <w:sz w:val="20"/>
        </w:rPr>
        <w:t xml:space="preserve"> Not grossAmount. Dates need a full offset, for example the Z or +00:00 suffix, not a bare date.</w:t>
      </w:r>
    </w:p>
    <w:p>
      <w:pPr>
        <w:pStyle w:val="ListBullet"/>
        <w:spacing w:before="0" w:after="60"/>
      </w:pPr>
      <w:r>
        <w:rPr>
          <w:rFonts w:ascii="Arial" w:hAnsi="Arial" w:eastAsia="Arial"/>
          <w:b/>
          <w:i w:val="0"/>
          <w:sz w:val="20"/>
        </w:rPr>
        <w:t>Restrictions ride along in the same PUT.</w:t>
      </w:r>
      <w:r>
        <w:rPr>
          <w:rFonts w:ascii="Arial" w:hAnsi="Arial" w:eastAsia="Arial"/>
          <w:b w:val="0"/>
          <w:i w:val="0"/>
          <w:sz w:val="20"/>
        </w:rPr>
        <w:t xml:space="preserve"> closedOnArrival and closedOnDeparture are set inside each rate slice, alongside the price. There is no separate restrictions endpoint. This is how the Friday and Monday turnover is applied: block arrival and departure on every non-turnover day.</w:t>
      </w:r>
    </w:p>
    <w:p>
      <w:pPr>
        <w:pStyle w:val="Heading2"/>
      </w:pPr>
      <w:r>
        <w:t>3.5 Services (extras)</w:t>
      </w:r>
    </w:p>
    <w:p>
      <w:pPr>
        <w:pStyle w:val="ListBullet"/>
        <w:spacing w:before="0" w:after="60"/>
      </w:pPr>
      <w:r>
        <w:rPr>
          <w:rFonts w:ascii="Arial" w:hAnsi="Arial" w:eastAsia="Arial"/>
          <w:b/>
          <w:i w:val="0"/>
          <w:sz w:val="20"/>
        </w:rPr>
        <w:t>pricingUnit uses Apaleo's own words.</w:t>
      </w:r>
      <w:r>
        <w:rPr>
          <w:rFonts w:ascii="Arial" w:hAnsi="Arial" w:eastAsia="Arial"/>
          <w:b w:val="0"/>
          <w:i w:val="0"/>
          <w:sz w:val="20"/>
        </w:rPr>
        <w:t xml:space="preserve"> Room, Person, RoomPerNight, PersonPerNight. Not PerBooking or PerPersonPerNight.</w:t>
      </w:r>
    </w:p>
    <w:p>
      <w:pPr>
        <w:pStyle w:val="ListBullet"/>
        <w:spacing w:before="0" w:after="60"/>
      </w:pPr>
      <w:r>
        <w:rPr>
          <w:rFonts w:ascii="Arial" w:hAnsi="Arial" w:eastAsia="Arial"/>
          <w:b/>
          <w:i w:val="0"/>
          <w:sz w:val="20"/>
        </w:rPr>
        <w:t>availability is an object, not a string.</w:t>
      </w:r>
      <w:r>
        <w:rPr>
          <w:rFonts w:ascii="Arial" w:hAnsi="Arial" w:eastAsia="Arial"/>
          <w:b w:val="0"/>
          <w:i w:val="0"/>
          <w:sz w:val="20"/>
        </w:rPr>
        <w:t xml:space="preserve"> It has a mode (Arrival, Departure, or Daily) and a daysOfWeek array. ArrivalOnly as a string is rejected.</w:t>
      </w:r>
    </w:p>
    <w:p>
      <w:pPr>
        <w:pStyle w:val="ListBullet"/>
        <w:spacing w:before="0" w:after="60"/>
      </w:pPr>
      <w:r>
        <w:rPr>
          <w:rFonts w:ascii="Arial" w:hAnsi="Arial" w:eastAsia="Arial"/>
          <w:b/>
          <w:i w:val="0"/>
          <w:sz w:val="20"/>
        </w:rPr>
        <w:t>Services also need serviceType, vatType, and accounting configs.</w:t>
      </w:r>
      <w:r>
        <w:rPr>
          <w:rFonts w:ascii="Arial" w:hAnsi="Arial" w:eastAsia="Arial"/>
          <w:b w:val="0"/>
          <w:i w:val="0"/>
          <w:sz w:val="20"/>
        </w:rPr>
        <w:t xml:space="preserve"> Same accounting rule as rate plans.</w:t>
      </w:r>
    </w:p>
    <w:p>
      <w:pPr>
        <w:pStyle w:val="Heading1"/>
      </w:pPr>
      <w:r>
        <w:t>4. Patterns That Worked</w:t>
      </w:r>
    </w:p>
    <w:p>
      <w:pPr>
        <w:pStyle w:val="ListBullet"/>
        <w:spacing w:before="0" w:after="60"/>
      </w:pPr>
      <w:r>
        <w:rPr>
          <w:rFonts w:ascii="Arial" w:hAnsi="Arial" w:eastAsia="Arial"/>
          <w:b/>
          <w:i w:val="0"/>
          <w:sz w:val="20"/>
        </w:rPr>
        <w:t>Make the script idempotent.</w:t>
      </w:r>
      <w:r>
        <w:rPr>
          <w:rFonts w:ascii="Arial" w:hAnsi="Arial" w:eastAsia="Arial"/>
          <w:b w:val="0"/>
          <w:i w:val="0"/>
          <w:sz w:val="20"/>
        </w:rPr>
        <w:t xml:space="preserve"> Every step checks whether the object already exists and skips it. Because we hit an error at almost every step, being able to re-run without duplicating what already succeeded was essential.</w:t>
      </w:r>
    </w:p>
    <w:p>
      <w:pPr>
        <w:pStyle w:val="ListBullet"/>
        <w:spacing w:before="0" w:after="60"/>
      </w:pPr>
      <w:r>
        <w:rPr>
          <w:rFonts w:ascii="Arial" w:hAnsi="Arial" w:eastAsia="Arial"/>
          <w:b/>
          <w:i w:val="0"/>
          <w:sz w:val="20"/>
        </w:rPr>
        <w:t>Fetch, then fill, then send.</w:t>
      </w:r>
      <w:r>
        <w:rPr>
          <w:rFonts w:ascii="Arial" w:hAnsi="Arial" w:eastAsia="Arial"/>
          <w:b w:val="0"/>
          <w:i w:val="0"/>
          <w:sz w:val="20"/>
        </w:rPr>
        <w:t xml:space="preserve"> For anything Apaleo generates internally (time slices, prices, default policies), read what exists and edit it, rather than constructing it blind.</w:t>
      </w:r>
    </w:p>
    <w:p>
      <w:pPr>
        <w:pStyle w:val="ListBullet"/>
        <w:spacing w:before="0" w:after="60"/>
      </w:pPr>
      <w:r>
        <w:rPr>
          <w:rFonts w:ascii="Arial" w:hAnsi="Arial" w:eastAsia="Arial"/>
          <w:b/>
          <w:i w:val="0"/>
          <w:sz w:val="20"/>
        </w:rPr>
        <w:t>Copy the sample data's shape.</w:t>
      </w:r>
      <w:r>
        <w:rPr>
          <w:rFonts w:ascii="Arial" w:hAnsi="Arial" w:eastAsia="Arial"/>
          <w:b w:val="0"/>
          <w:i w:val="0"/>
          <w:sz w:val="20"/>
        </w:rPr>
        <w:t xml:space="preserve"> Hotel Berlin in the sandbox is a complete, valid worked example of every object. It was more useful than the documentation.</w:t>
      </w:r>
    </w:p>
    <w:p>
      <w:pPr>
        <w:pStyle w:val="ListBullet"/>
        <w:spacing w:before="0" w:after="60"/>
      </w:pPr>
      <w:r>
        <w:rPr>
          <w:rFonts w:ascii="Arial" w:hAnsi="Arial" w:eastAsia="Arial"/>
          <w:b/>
          <w:i w:val="0"/>
          <w:sz w:val="20"/>
        </w:rPr>
        <w:t>Batch into as few calls as possible.</w:t>
      </w:r>
      <w:r>
        <w:rPr>
          <w:rFonts w:ascii="Arial" w:hAnsi="Arial" w:eastAsia="Arial"/>
          <w:b w:val="0"/>
          <w:i w:val="0"/>
          <w:sz w:val="20"/>
        </w:rPr>
        <w:t xml:space="preserve"> Given the 8-per-20-minutes limit, one large call always beats many small ones.</w:t>
      </w:r>
    </w:p>
    <w:p>
      <w:pPr>
        <w:pStyle w:val="ListBullet"/>
        <w:spacing w:before="0" w:after="60"/>
      </w:pPr>
      <w:r>
        <w:rPr>
          <w:rFonts w:ascii="Arial" w:hAnsi="Arial" w:eastAsia="Arial"/>
          <w:b/>
          <w:i w:val="0"/>
          <w:sz w:val="20"/>
        </w:rPr>
        <w:t>Change one thing, re-run, read the next error.</w:t>
      </w:r>
      <w:r>
        <w:rPr>
          <w:rFonts w:ascii="Arial" w:hAnsi="Arial" w:eastAsia="Arial"/>
          <w:b w:val="0"/>
          <w:i w:val="0"/>
          <w:sz w:val="20"/>
        </w:rPr>
        <w:t xml:space="preserve"> Apaleo returns clear validation messages. Fixing exactly what the message names, one at a time, was slow but reliable.</w:t>
      </w:r>
    </w:p>
    <w:p>
      <w:pPr>
        <w:pStyle w:val="Heading1"/>
      </w:pPr>
      <w:r>
        <w:t>5. Open Items for Production</w:t>
      </w:r>
    </w:p>
    <w:p>
      <w:pPr>
        <w:spacing w:before="0" w:after="120"/>
      </w:pPr>
      <w:r>
        <w:rPr>
          <w:rFonts w:ascii="Arial" w:hAnsi="Arial" w:eastAsia="Arial"/>
          <w:b w:val="0"/>
          <w:i w:val="0"/>
          <w:sz w:val="20"/>
        </w:rPr>
        <w:t>Things that are fine for the sandbox demo but must be revisited before any real launch.</w:t>
      </w:r>
    </w:p>
    <w:p>
      <w:pPr>
        <w:pStyle w:val="ListBullet"/>
        <w:spacing w:before="0" w:after="60"/>
      </w:pPr>
      <w:r>
        <w:rPr>
          <w:rFonts w:ascii="Arial" w:hAnsi="Arial" w:eastAsia="Arial"/>
          <w:b/>
          <w:i w:val="0"/>
          <w:sz w:val="20"/>
        </w:rPr>
        <w:t>Country and region.</w:t>
      </w:r>
      <w:r>
        <w:rPr>
          <w:rFonts w:ascii="Arial" w:hAnsi="Arial" w:eastAsia="Arial"/>
          <w:b w:val="0"/>
          <w:i w:val="0"/>
          <w:sz w:val="20"/>
        </w:rPr>
        <w:t xml:space="preserve"> The DE workaround is sandbox-only. Kenya support must be arranged with Apaleo's enterprise onboarding before going live.</w:t>
      </w:r>
    </w:p>
    <w:p>
      <w:pPr>
        <w:pStyle w:val="ListBullet"/>
        <w:spacing w:before="0" w:after="60"/>
      </w:pPr>
      <w:r>
        <w:rPr>
          <w:rFonts w:ascii="Arial" w:hAnsi="Arial" w:eastAsia="Arial"/>
          <w:b/>
          <w:i w:val="0"/>
          <w:sz w:val="20"/>
        </w:rPr>
        <w:t>VAT.</w:t>
      </w:r>
      <w:r>
        <w:rPr>
          <w:rFonts w:ascii="Arial" w:hAnsi="Arial" w:eastAsia="Arial"/>
          <w:b w:val="0"/>
          <w:i w:val="0"/>
          <w:sz w:val="20"/>
        </w:rPr>
        <w:t xml:space="preserve"> The demo uses a Without VAT type. Real Kenyan VAT at 16% and any tourism levy need proper accounting configuration.</w:t>
      </w:r>
    </w:p>
    <w:p>
      <w:pPr>
        <w:pStyle w:val="ListBullet"/>
        <w:spacing w:before="0" w:after="60"/>
      </w:pPr>
      <w:r>
        <w:rPr>
          <w:rFonts w:ascii="Arial" w:hAnsi="Arial" w:eastAsia="Arial"/>
          <w:b/>
          <w:i w:val="0"/>
          <w:sz w:val="20"/>
        </w:rPr>
        <w:t>Pricing window and seasonality.</w:t>
      </w:r>
      <w:r>
        <w:rPr>
          <w:rFonts w:ascii="Arial" w:hAnsi="Arial" w:eastAsia="Arial"/>
          <w:b w:val="0"/>
          <w:i w:val="0"/>
          <w:sz w:val="20"/>
        </w:rPr>
        <w:t xml:space="preserve"> The demo sets one flat price across a few months. Production needs seasonal and peak pricing, and a job to keep the pricing and restriction calendars rolling forward.</w:t>
      </w:r>
    </w:p>
    <w:p>
      <w:pPr>
        <w:pStyle w:val="ListBullet"/>
        <w:spacing w:before="0" w:after="60"/>
      </w:pPr>
      <w:r>
        <w:rPr>
          <w:rFonts w:ascii="Arial" w:hAnsi="Arial" w:eastAsia="Arial"/>
          <w:b/>
          <w:i w:val="0"/>
          <w:sz w:val="20"/>
        </w:rPr>
        <w:t>Rate limits at scale.</w:t>
      </w:r>
      <w:r>
        <w:rPr>
          <w:rFonts w:ascii="Arial" w:hAnsi="Arial" w:eastAsia="Arial"/>
          <w:b w:val="0"/>
          <w:i w:val="0"/>
          <w:sz w:val="20"/>
        </w:rPr>
        <w:t xml:space="preserve"> A production sync must be designed around the 8-per-20-minutes ceiling from day one, most likely with a queued, throttled writer.</w:t>
      </w:r>
    </w:p>
    <w:p>
      <w:pPr>
        <w:pStyle w:val="ListBullet"/>
        <w:spacing w:before="0" w:after="60"/>
      </w:pPr>
      <w:r>
        <w:rPr>
          <w:rFonts w:ascii="Arial" w:hAnsi="Arial" w:eastAsia="Arial"/>
          <w:b/>
          <w:i w:val="0"/>
          <w:sz w:val="20"/>
        </w:rPr>
        <w:t>Sub-accounts.</w:t>
      </w:r>
      <w:r>
        <w:rPr>
          <w:rFonts w:ascii="Arial" w:hAnsi="Arial" w:eastAsia="Arial"/>
          <w:b w:val="0"/>
          <w:i w:val="0"/>
          <w:sz w:val="20"/>
        </w:rPr>
        <w:t xml:space="preserve"> Custom accounts are disabled on the current account. If finance wants per-tier revenue reporting, that must be enabled with Apaleo.</w:t>
      </w:r>
    </w:p>
    <w:p/>
    <w:tbl>
      <w:tblPr>
        <w:tblW w:type="dxa" w:w="9360"/>
        <w:tblLayout w:type="fixed"/>
        <w:tblLook w:firstColumn="1" w:firstRow="1" w:lastColumn="0" w:lastRow="0" w:noHBand="0" w:noVBand="1" w:val="04A0"/>
        <w:tblLayout w:type="fixed"/>
      </w:tblPr>
      <w:tblGrid>
        <w:gridCol w:w="9360"/>
      </w:tblGrid>
      <w:tr>
        <w:tc>
          <w:tcPr>
            <w:tcW w:type="dxa" w:w="9360"/>
            <w:tcBorders>
              <w:top w:val="single" w:sz="4" w:space="0" w:color="2F6F5E"/>
              <w:left w:val="nil"/>
              <w:bottom w:val="nil"/>
              <w:right w:val="nil"/>
            </w:tcBorders>
            <w:tcMar>
              <w:top w:w="120" w:type="dxa"/>
              <w:left w:w="100" w:type="dxa"/>
              <w:bottom w:w="40" w:type="dxa"/>
              <w:right w:w="100" w:type="dxa"/>
            </w:tcMar>
          </w:tcPr>
          <w:p>
            <w:pPr>
              <w:spacing w:before="0" w:after="0"/>
              <w:jc w:val="center"/>
            </w:pPr>
            <w:r/>
            <w:r>
              <w:rPr>
                <w:rFonts w:ascii="Arial" w:hAnsi="Arial" w:eastAsia="Arial"/>
                <w:b w:val="0"/>
                <w:i/>
                <w:color w:val="888888"/>
                <w:sz w:val="17"/>
              </w:rPr>
              <w:t>Unity Parks Ltd   |   Confidential &amp; Proprietary   |   Apaleo Sandbox Setup and Lessons   |   Version 1.1   |   July 2026   |   Companion to the provisioning script and the MVP Demo Plan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432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eastAsia="Arial"/>
      <w:b/>
      <w:bCs/>
      <w:color w:val="2F6F5E"/>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eastAsia="Arial"/>
      <w:b/>
      <w:bCs/>
      <w:color w:val="C895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