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tblLayout w:type="fixed"/>
        <w:tblLook w:firstColumn="1" w:firstRow="1" w:lastColumn="0" w:lastRow="0" w:noHBand="0" w:noVBand="1" w:val="04A0"/>
        <w:tblLayout w:type="fixed"/>
      </w:tblPr>
      <w:tblGrid>
        <w:gridCol w:w="9360"/>
      </w:tblGrid>
      <w:tr>
        <w:tc>
          <w:tcPr>
            <w:tcW w:type="dxa" w:w="9360"/>
            <w:shd w:val="clear" w:color="auto" w:fill="14323A"/>
            <w:tcBorders>
              <w:top w:val="nil"/>
              <w:left w:val="nil"/>
              <w:bottom w:val="nil"/>
              <w:right w:val="nil"/>
            </w:tcBorders>
            <w:tcMar>
              <w:top w:w="300" w:type="dxa"/>
              <w:left w:w="280" w:type="dxa"/>
              <w:bottom w:w="300" w:type="dxa"/>
              <w:right w:w="280" w:type="dxa"/>
            </w:tcMar>
          </w:tcPr>
          <w:p>
            <w:pPr>
              <w:spacing w:before="0" w:after="80"/>
            </w:pPr>
            <w:r/>
            <w:r>
              <w:rPr>
                <w:rFonts w:ascii="Arial" w:hAnsi="Arial" w:eastAsia="Arial"/>
                <w:b/>
                <w:i w:val="0"/>
                <w:color w:val="C8E6C9"/>
                <w:sz w:val="20"/>
                <w:smallCaps w:val="1"/>
              </w:rPr>
              <w:t>UNITY PARKS</w:t>
            </w:r>
          </w:p>
          <w:p>
            <w:pPr>
              <w:spacing w:before="0" w:after="120"/>
            </w:pPr>
            <w:r>
              <w:rPr>
                <w:rFonts w:ascii="Arial" w:hAnsi="Arial" w:eastAsia="Arial"/>
                <w:b/>
                <w:i w:val="0"/>
                <w:color w:val="FFFFFF"/>
                <w:sz w:val="44"/>
              </w:rPr>
              <w:t>Booking Engine: Implementation Plan and Workflow</w:t>
            </w:r>
          </w:p>
          <w:p>
            <w:pPr>
              <w:spacing w:before="0" w:after="0"/>
            </w:pPr>
            <w:r>
              <w:rPr>
                <w:rFonts w:ascii="Arial" w:hAnsi="Arial" w:eastAsia="Arial"/>
                <w:b w:val="0"/>
                <w:i w:val="0"/>
                <w:color w:val="FFFFFF"/>
                <w:sz w:val="18"/>
              </w:rPr>
              <w:t>Version 1.0   |   Build Plan for Slice 3 (Booking Front-End)   |   July 2026</w:t>
            </w:r>
          </w:p>
          <w:p>
            <w:pPr>
              <w:spacing w:before="0" w:after="0"/>
            </w:pPr>
            <w:r>
              <w:rPr>
                <w:rFonts w:ascii="Arial" w:hAnsi="Arial" w:eastAsia="Arial"/>
                <w:b w:val="0"/>
                <w:i w:val="0"/>
                <w:color w:val="FFFFFF"/>
                <w:sz w:val="18"/>
              </w:rPr>
              <w:t>Confidential   |   Unity Parks Internal</w:t>
            </w:r>
          </w:p>
        </w:tc>
      </w:tr>
    </w:tbl>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60" w:type="dxa"/>
              <w:left w:w="200" w:type="dxa"/>
              <w:bottom w:w="160" w:type="dxa"/>
              <w:right w:w="200" w:type="dxa"/>
            </w:tcMar>
          </w:tcPr>
          <w:p>
            <w:pPr>
              <w:spacing w:before="0" w:after="80"/>
            </w:pPr>
            <w:r/>
            <w:r>
              <w:rPr>
                <w:rFonts w:ascii="Arial" w:hAnsi="Arial" w:eastAsia="Arial"/>
                <w:b/>
                <w:i w:val="0"/>
                <w:color w:val="5C4A1A"/>
                <w:sz w:val="22"/>
              </w:rPr>
              <w:t>Purpose of this document</w:t>
            </w:r>
          </w:p>
          <w:p>
            <w:pPr>
              <w:spacing w:before="0" w:after="0"/>
            </w:pPr>
            <w:r>
              <w:rPr>
                <w:rFonts w:ascii="Arial" w:hAnsi="Arial" w:eastAsia="Arial"/>
                <w:b w:val="0"/>
                <w:i w:val="0"/>
                <w:color w:val="5C4A1A"/>
                <w:sz w:val="20"/>
              </w:rPr>
              <w:t>This turns the Booking Engine Specification (v1.2) into a phased build plan, and sets out how to run that build in Trello with a Scrumban board. It assumes a small, largely solo build on the agreed headless architecture: a Next.js storefront, a Unity Parks orchestration service, Apaleo as the system of record, and Pesapal for money. The Payment Integration Guide and the Referral Engine Specification remain the companions for those areas. Where the plan says a decision is needed, it points to Section 8, which lists the decisions to settle before their phase begins.</w:t>
            </w:r>
          </w:p>
        </w:tc>
      </w:tr>
    </w:tbl>
    <w:p>
      <w:pPr>
        <w:spacing w:before="0" w:after="0"/>
      </w:pPr>
    </w:p>
    <w:p>
      <w:pPr>
        <w:pStyle w:val="Heading1"/>
      </w:pPr>
      <w:r>
        <w:t>Change Log</w:t>
      </w:r>
    </w:p>
    <w:tbl>
      <w:tblPr>
        <w:tblW w:type="dxa" w:w="9360"/>
        <w:tblLayout w:type="fixed"/>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000"/>
        <w:gridCol w:w="1200"/>
        <w:gridCol w:w="1700"/>
        <w:gridCol w:w="5460"/>
      </w:tblGrid>
      <w:tr>
        <w:tc>
          <w:tcPr>
            <w:tcW w:type="dxa" w:w="10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Version</w:t>
            </w:r>
          </w:p>
        </w:tc>
        <w:tc>
          <w:tcPr>
            <w:tcW w:type="dxa" w:w="12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Date</w:t>
            </w:r>
          </w:p>
        </w:tc>
        <w:tc>
          <w:tcPr>
            <w:tcW w:type="dxa" w:w="17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Author</w:t>
            </w:r>
          </w:p>
        </w:tc>
        <w:tc>
          <w:tcPr>
            <w:tcW w:type="dxa" w:w="546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Changes</w:t>
            </w:r>
          </w:p>
        </w:tc>
      </w:tr>
      <w:tr>
        <w:tc>
          <w:tcPr>
            <w:tcW w:type="dxa" w:w="1000"/>
            <w:shd w:val="clear" w:color="auto" w:fill="FFFFFF"/>
            <w:tcMar>
              <w:top w:w="60" w:type="dxa"/>
              <w:left w:w="110" w:type="dxa"/>
              <w:bottom w:w="60" w:type="dxa"/>
              <w:right w:w="110" w:type="dxa"/>
            </w:tcMar>
          </w:tcPr>
          <w:p>
            <w:pPr>
              <w:spacing w:before="0" w:after="0"/>
            </w:pPr>
            <w:r/>
            <w:r>
              <w:rPr>
                <w:rFonts w:ascii="Arial" w:hAnsi="Arial" w:eastAsia="Arial"/>
                <w:b w:val="0"/>
                <w:i w:val="0"/>
                <w:sz w:val="19"/>
              </w:rPr>
              <w:t>1.0</w:t>
            </w:r>
          </w:p>
        </w:tc>
        <w:tc>
          <w:tcPr>
            <w:tcW w:type="dxa" w:w="1200"/>
            <w:shd w:val="clear" w:color="auto" w:fill="FFFFFF"/>
            <w:tcMar>
              <w:top w:w="60" w:type="dxa"/>
              <w:left w:w="110" w:type="dxa"/>
              <w:bottom w:w="60" w:type="dxa"/>
              <w:right w:w="110" w:type="dxa"/>
            </w:tcMar>
          </w:tcPr>
          <w:p>
            <w:pPr>
              <w:spacing w:before="0" w:after="0"/>
            </w:pPr>
            <w:r/>
            <w:r>
              <w:rPr>
                <w:rFonts w:ascii="Arial" w:hAnsi="Arial" w:eastAsia="Arial"/>
                <w:b w:val="0"/>
                <w:i w:val="0"/>
                <w:sz w:val="19"/>
              </w:rPr>
              <w:t>July 2026</w:t>
            </w:r>
          </w:p>
        </w:tc>
        <w:tc>
          <w:tcPr>
            <w:tcW w:type="dxa" w:w="1700"/>
            <w:shd w:val="clear" w:color="auto" w:fill="FFFFFF"/>
            <w:tcMar>
              <w:top w:w="60" w:type="dxa"/>
              <w:left w:w="110" w:type="dxa"/>
              <w:bottom w:w="60" w:type="dxa"/>
              <w:right w:w="110" w:type="dxa"/>
            </w:tcMar>
          </w:tcPr>
          <w:p>
            <w:pPr>
              <w:spacing w:before="0" w:after="0"/>
            </w:pPr>
            <w:r/>
            <w:r>
              <w:rPr>
                <w:rFonts w:ascii="Arial" w:hAnsi="Arial" w:eastAsia="Arial"/>
                <w:b w:val="0"/>
                <w:i w:val="0"/>
                <w:sz w:val="19"/>
              </w:rPr>
              <w:t>Allan / Claude</w:t>
            </w:r>
          </w:p>
        </w:tc>
        <w:tc>
          <w:tcPr>
            <w:tcW w:type="dxa" w:w="5460"/>
            <w:shd w:val="clear" w:color="auto" w:fill="FFFFFF"/>
            <w:tcMar>
              <w:top w:w="60" w:type="dxa"/>
              <w:left w:w="110" w:type="dxa"/>
              <w:bottom w:w="60" w:type="dxa"/>
              <w:right w:w="110" w:type="dxa"/>
            </w:tcMar>
          </w:tcPr>
          <w:p>
            <w:pPr>
              <w:spacing w:before="0" w:after="0"/>
            </w:pPr>
            <w:r/>
            <w:r>
              <w:rPr>
                <w:rFonts w:ascii="Arial" w:hAnsi="Arial" w:eastAsia="Arial"/>
                <w:b w:val="0"/>
                <w:i w:val="0"/>
                <w:sz w:val="19"/>
              </w:rPr>
              <w:t>Initial implementation plan and Trello workflow, derived from Booking Engine Specification v1.2.</w:t>
            </w:r>
          </w:p>
        </w:tc>
      </w:tr>
    </w:tbl>
    <w:p>
      <w:pPr>
        <w:spacing w:before="0" w:after="40"/>
      </w:pPr>
    </w:p>
    <w:p>
      <w:pPr>
        <w:pStyle w:val="Heading1"/>
      </w:pPr>
      <w:r>
        <w:t>1. Approach</w:t>
      </w:r>
    </w:p>
    <w:p>
      <w:pPr>
        <w:spacing w:before="0" w:after="120"/>
      </w:pPr>
      <w:r>
        <w:rPr>
          <w:rFonts w:ascii="Arial" w:hAnsi="Arial" w:eastAsia="Arial"/>
          <w:b w:val="0"/>
          <w:i w:val="0"/>
          <w:sz w:val="20"/>
        </w:rPr>
        <w:t>The build follows three rules, all aimed at reducing risk early and keeping momentum.</w:t>
      </w:r>
    </w:p>
    <w:p>
      <w:pPr>
        <w:pStyle w:val="ListBullet"/>
        <w:spacing w:before="0" w:after="60"/>
      </w:pPr>
      <w:r>
        <w:rPr>
          <w:rFonts w:ascii="Arial" w:hAnsi="Arial" w:eastAsia="Arial"/>
          <w:b/>
          <w:i w:val="0"/>
          <w:sz w:val="20"/>
        </w:rPr>
        <w:t>Sandbox first.</w:t>
      </w:r>
      <w:r>
        <w:rPr>
          <w:rFonts w:ascii="Arial" w:hAnsi="Arial" w:eastAsia="Arial"/>
          <w:b w:val="0"/>
          <w:i w:val="0"/>
          <w:sz w:val="20"/>
        </w:rPr>
        <w:t xml:space="preserve"> Prove the whole booking loop in the Apaleo sandbox, through Swagger and small scripts, before writing any front-end. The model is cheap to validate and expensive to get wrong late.</w:t>
      </w:r>
    </w:p>
    <w:p>
      <w:pPr>
        <w:pStyle w:val="ListBullet"/>
        <w:spacing w:before="0" w:after="60"/>
      </w:pPr>
      <w:r>
        <w:rPr>
          <w:rFonts w:ascii="Arial" w:hAnsi="Arial" w:eastAsia="Arial"/>
          <w:b/>
          <w:i w:val="0"/>
          <w:sz w:val="20"/>
        </w:rPr>
        <w:t>Vertical slices, not horizontal layers.</w:t>
      </w:r>
      <w:r>
        <w:rPr>
          <w:rFonts w:ascii="Arial" w:hAnsi="Arial" w:eastAsia="Arial"/>
          <w:b w:val="0"/>
          <w:i w:val="0"/>
          <w:sz w:val="20"/>
        </w:rPr>
        <w:t xml:space="preserve"> Each phase ends in something you can actually run and show, rather than a half-finished layer. That keeps the work honest and the progress visible.</w:t>
      </w:r>
    </w:p>
    <w:p>
      <w:pPr>
        <w:pStyle w:val="ListBullet"/>
        <w:spacing w:before="0" w:after="60"/>
      </w:pPr>
      <w:r>
        <w:rPr>
          <w:rFonts w:ascii="Arial" w:hAnsi="Arial" w:eastAsia="Arial"/>
          <w:b/>
          <w:i w:val="0"/>
          <w:sz w:val="20"/>
        </w:rPr>
        <w:t>One brain.</w:t>
      </w:r>
      <w:r>
        <w:rPr>
          <w:rFonts w:ascii="Arial" w:hAnsi="Arial" w:eastAsia="Arial"/>
          <w:b w:val="0"/>
          <w:i w:val="0"/>
          <w:sz w:val="20"/>
        </w:rPr>
        <w:t xml:space="preserve"> All Apaleo and money logic lives in the orchestration service. The storefront only ever calls our own service, and no secret ever reaches the browser.</w:t>
      </w:r>
    </w:p>
    <w:p>
      <w:pPr>
        <w:spacing w:before="0" w:after="120"/>
      </w:pPr>
      <w:r>
        <w:rPr>
          <w:rFonts w:ascii="Arial" w:hAnsi="Arial" w:eastAsia="Arial"/>
          <w:b w:val="0"/>
          <w:i w:val="0"/>
          <w:sz w:val="20"/>
        </w:rPr>
        <w:t>The phases run in order, and each names what it depends on and what counts as done. Phase 0 is the one that matters most: finishing it is the moment the risk drops, because everything after it builds on a model you have already watched work.</w:t>
      </w:r>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40" w:type="dxa"/>
              <w:left w:w="180" w:type="dxa"/>
              <w:bottom w:w="140" w:type="dxa"/>
              <w:right w:w="180" w:type="dxa"/>
            </w:tcMar>
          </w:tcPr>
          <w:p>
            <w:pPr>
              <w:spacing w:before="0" w:after="0"/>
            </w:pPr>
            <w:r/>
            <w:r>
              <w:rPr>
                <w:rFonts w:ascii="Arial" w:hAnsi="Arial" w:eastAsia="Arial"/>
                <w:b/>
                <w:i w:val="0"/>
                <w:color w:val="5C4A1A"/>
                <w:sz w:val="20"/>
              </w:rPr>
              <w:t>Assumptions worth flagging:</w:t>
            </w:r>
            <w:r>
              <w:rPr>
                <w:rFonts w:ascii="Arial" w:hAnsi="Arial" w:eastAsia="Arial"/>
                <w:b w:val="0"/>
                <w:i w:val="0"/>
                <w:color w:val="5C4A1A"/>
                <w:sz w:val="20"/>
              </w:rPr>
              <w:t xml:space="preserve">  this plan assumes a mostly solo build, and that the Pesapal payment write-back (Slice 1) may not be built yet, so Phase 3 includes it. If that work already exists, Phase 3 becomes an integration task rather than a build. Adjust the phase if so.</w:t>
            </w:r>
          </w:p>
        </w:tc>
      </w:tr>
    </w:tbl>
    <w:p>
      <w:pPr>
        <w:spacing w:before="0" w:after="0"/>
      </w:pPr>
    </w:p>
    <w:p>
      <w:pPr>
        <w:pStyle w:val="Heading1"/>
      </w:pPr>
      <w:r>
        <w:t>2. Phase 0: Foundations and Sandbox Proof</w:t>
      </w:r>
    </w:p>
    <w:p>
      <w:pPr>
        <w:pStyle w:val="Heading2"/>
      </w:pPr>
      <w:r>
        <w:t>2.1 The de-risking phase</w:t>
      </w:r>
    </w:p>
    <w:p>
      <w:pPr>
        <w:spacing w:before="0" w:after="120"/>
      </w:pPr>
      <w:r>
        <w:rPr>
          <w:rFonts w:ascii="Arial" w:hAnsi="Arial" w:eastAsia="Arial"/>
          <w:b w:val="0"/>
          <w:i w:val="0"/>
          <w:sz w:val="20"/>
        </w:rPr>
        <w:t>Goal: prove the whole booking loop in the Apaleo sandbox before building any UI, and stand up the repositories and environments.</w:t>
      </w:r>
    </w:p>
    <w:p>
      <w:pPr>
        <w:pStyle w:val="ListBullet"/>
        <w:spacing w:before="0" w:after="60"/>
      </w:pPr>
      <w:r>
        <w:rPr>
          <w:rFonts w:ascii="Arial" w:hAnsi="Arial" w:eastAsia="Arial"/>
          <w:b w:val="0"/>
          <w:i w:val="0"/>
          <w:sz w:val="20"/>
        </w:rPr>
        <w:t>Create the Apaleo developer account and sandbox, and generate OAuth client credentials.</w:t>
      </w:r>
    </w:p>
    <w:p>
      <w:pPr>
        <w:pStyle w:val="ListBullet"/>
        <w:spacing w:before="0" w:after="60"/>
      </w:pPr>
      <w:r>
        <w:rPr>
          <w:rFonts w:ascii="Arial" w:hAnsi="Arial" w:eastAsia="Arial"/>
          <w:b w:val="0"/>
          <w:i w:val="0"/>
          <w:sz w:val="20"/>
        </w:rPr>
        <w:t>Write a provisioning script that creates a Test-status Unity Parks property with unit groups (lodge types), units (individual lodges), one KES rate plan, and a handful of services.</w:t>
      </w:r>
    </w:p>
    <w:p>
      <w:pPr>
        <w:pStyle w:val="ListBullet"/>
        <w:spacing w:before="0" w:after="60"/>
      </w:pPr>
      <w:r>
        <w:rPr>
          <w:rFonts w:ascii="Arial" w:hAnsi="Arial" w:eastAsia="Arial"/>
          <w:b w:val="0"/>
          <w:i w:val="0"/>
          <w:sz w:val="20"/>
        </w:rPr>
        <w:t>Write a restriction-calendar script that closes arrival and departure on every date except Fridays and Mondays across a rolling window.</w:t>
      </w:r>
    </w:p>
    <w:p>
      <w:pPr>
        <w:pStyle w:val="ListBullet"/>
        <w:spacing w:before="0" w:after="60"/>
      </w:pPr>
      <w:r>
        <w:rPr>
          <w:rFonts w:ascii="Arial" w:hAnsi="Arial" w:eastAsia="Arial"/>
          <w:b w:val="0"/>
          <w:i w:val="0"/>
          <w:sz w:val="20"/>
        </w:rPr>
        <w:t>Prove offers: fetch offers for a date window and confirm only Friday and Monday arrivals and departures come back.</w:t>
      </w:r>
    </w:p>
    <w:p>
      <w:pPr>
        <w:pStyle w:val="ListBullet"/>
        <w:spacing w:before="0" w:after="60"/>
      </w:pPr>
      <w:r>
        <w:rPr>
          <w:rFonts w:ascii="Arial" w:hAnsi="Arial" w:eastAsia="Arial"/>
          <w:b w:val="0"/>
          <w:i w:val="0"/>
          <w:sz w:val="20"/>
        </w:rPr>
        <w:t>Prove a multi-lodge booking: create one booking that holds two reservations.</w:t>
      </w:r>
    </w:p>
    <w:p>
      <w:pPr>
        <w:pStyle w:val="ListBullet"/>
        <w:spacing w:before="0" w:after="60"/>
      </w:pPr>
      <w:r>
        <w:rPr>
          <w:rFonts w:ascii="Arial" w:hAnsi="Arial" w:eastAsia="Arial"/>
          <w:b w:val="0"/>
          <w:i w:val="0"/>
          <w:sz w:val="20"/>
        </w:rPr>
        <w:t>Prove the payment seam: post a manual ("Other") payment on the folio and watch the balance settle.</w:t>
      </w:r>
    </w:p>
    <w:p>
      <w:pPr>
        <w:pStyle w:val="ListBullet"/>
        <w:spacing w:before="0" w:after="60"/>
      </w:pPr>
      <w:r>
        <w:rPr>
          <w:rFonts w:ascii="Arial" w:hAnsi="Arial" w:eastAsia="Arial"/>
          <w:b w:val="0"/>
          <w:i w:val="0"/>
          <w:sz w:val="20"/>
        </w:rPr>
        <w:t>Prove amend and cancel: amend one reservation and cancel another, observing the policy and folio update.</w:t>
      </w:r>
    </w:p>
    <w:p>
      <w:pPr>
        <w:pStyle w:val="ListBullet"/>
        <w:spacing w:before="0" w:after="60"/>
      </w:pPr>
      <w:r>
        <w:rPr>
          <w:rFonts w:ascii="Arial" w:hAnsi="Arial" w:eastAsia="Arial"/>
          <w:b w:val="0"/>
          <w:i w:val="0"/>
          <w:sz w:val="20"/>
        </w:rPr>
        <w:t>Scaffold the repositories: Next.js storefront, orchestration service, shared config, a secrets store, and sandbox environment variables.</w:t>
      </w:r>
    </w:p>
    <w:p>
      <w:pPr>
        <w:spacing w:before="0" w:after="80"/>
      </w:pPr>
      <w:r>
        <w:rPr>
          <w:rFonts w:ascii="Arial" w:hAnsi="Arial" w:eastAsia="Arial"/>
          <w:b/>
          <w:i w:val="0"/>
          <w:sz w:val="20"/>
        </w:rPr>
        <w:t xml:space="preserve">Depends on: </w:t>
      </w:r>
      <w:r>
        <w:rPr>
          <w:rFonts w:ascii="Arial" w:hAnsi="Arial" w:eastAsia="Arial"/>
          <w:b w:val="0"/>
          <w:i w:val="0"/>
          <w:sz w:val="20"/>
        </w:rPr>
        <w:t>the break menu and the initial lodge-type and rate-plan list being decided (Section 8).</w:t>
      </w:r>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40" w:type="dxa"/>
              <w:left w:w="180" w:type="dxa"/>
              <w:bottom w:w="140" w:type="dxa"/>
              <w:right w:w="180" w:type="dxa"/>
            </w:tcMar>
          </w:tcPr>
          <w:p>
            <w:pPr>
              <w:spacing w:before="0" w:after="0"/>
            </w:pPr>
            <w:r/>
            <w:r>
              <w:rPr>
                <w:rFonts w:ascii="Arial" w:hAnsi="Arial" w:eastAsia="Arial"/>
                <w:b/>
                <w:i w:val="0"/>
                <w:color w:val="5C4A1A"/>
                <w:sz w:val="20"/>
              </w:rPr>
              <w:t>Done when:</w:t>
            </w:r>
            <w:r>
              <w:rPr>
                <w:rFonts w:ascii="Arial" w:hAnsi="Arial" w:eastAsia="Arial"/>
                <w:b w:val="0"/>
                <w:i w:val="0"/>
                <w:color w:val="5C4A1A"/>
                <w:sz w:val="20"/>
              </w:rPr>
              <w:t xml:space="preserve">  a recorded Swagger or script run shows offers, a multi-lodge booking, a recorded payment, and an amend and cancel, all against the sandbox, with no front-end yet.</w:t>
            </w:r>
          </w:p>
        </w:tc>
      </w:tr>
    </w:tbl>
    <w:p>
      <w:pPr>
        <w:spacing w:before="0" w:after="0"/>
      </w:pPr>
    </w:p>
    <w:p>
      <w:pPr>
        <w:pStyle w:val="Heading1"/>
      </w:pPr>
      <w:r>
        <w:t>3. Phase 1: Orchestration Service Core</w:t>
      </w:r>
    </w:p>
    <w:p>
      <w:pPr>
        <w:pStyle w:val="Heading2"/>
      </w:pPr>
      <w:r>
        <w:t>3.1 The backend brain</w:t>
      </w:r>
    </w:p>
    <w:p>
      <w:pPr>
        <w:spacing w:before="0" w:after="120"/>
      </w:pPr>
      <w:r>
        <w:rPr>
          <w:rFonts w:ascii="Arial" w:hAnsi="Arial" w:eastAsia="Arial"/>
          <w:b w:val="0"/>
          <w:i w:val="0"/>
          <w:sz w:val="20"/>
        </w:rPr>
        <w:t>Goal: build the service the storefront will call, so all Apaleo and money logic sits in one place.</w:t>
      </w:r>
    </w:p>
    <w:p>
      <w:pPr>
        <w:pStyle w:val="ListBullet"/>
        <w:spacing w:before="0" w:after="60"/>
      </w:pPr>
      <w:r>
        <w:rPr>
          <w:rFonts w:ascii="Arial" w:hAnsi="Arial" w:eastAsia="Arial"/>
          <w:b w:val="0"/>
          <w:i w:val="0"/>
          <w:sz w:val="20"/>
        </w:rPr>
        <w:t>OAuth token handling: fetch, cache, and refresh the Apaleo bearer token, server-side only.</w:t>
      </w:r>
    </w:p>
    <w:p>
      <w:pPr>
        <w:pStyle w:val="ListBullet"/>
        <w:spacing w:before="0" w:after="60"/>
      </w:pPr>
      <w:r>
        <w:rPr>
          <w:rFonts w:ascii="Arial" w:hAnsi="Arial" w:eastAsia="Arial"/>
          <w:b w:val="0"/>
          <w:i w:val="0"/>
          <w:sz w:val="20"/>
        </w:rPr>
        <w:t>Offers endpoint: wrap the Apaleo offer and service-offer calls and shape them into funnel-ready data.</w:t>
      </w:r>
    </w:p>
    <w:p>
      <w:pPr>
        <w:pStyle w:val="ListBullet"/>
        <w:spacing w:before="0" w:after="60"/>
      </w:pPr>
      <w:r>
        <w:rPr>
          <w:rFonts w:ascii="Arial" w:hAnsi="Arial" w:eastAsia="Arial"/>
          <w:b w:val="0"/>
          <w:i w:val="0"/>
          <w:sz w:val="20"/>
        </w:rPr>
        <w:t>Booking-session model: persist the draft booking (Postgres and Prisma) while the guest moves through the funnel.</w:t>
      </w:r>
    </w:p>
    <w:p>
      <w:pPr>
        <w:pStyle w:val="ListBullet"/>
        <w:spacing w:before="0" w:after="60"/>
      </w:pPr>
      <w:r>
        <w:rPr>
          <w:rFonts w:ascii="Arial" w:hAnsi="Arial" w:eastAsia="Arial"/>
          <w:b w:val="0"/>
          <w:i w:val="0"/>
          <w:sz w:val="20"/>
        </w:rPr>
        <w:t>Create-booking flow: create the booking in Apaleo and capture the folio id.</w:t>
      </w:r>
    </w:p>
    <w:p>
      <w:pPr>
        <w:pStyle w:val="ListBullet"/>
        <w:spacing w:before="0" w:after="60"/>
      </w:pPr>
      <w:r>
        <w:rPr>
          <w:rFonts w:ascii="Arial" w:hAnsi="Arial" w:eastAsia="Arial"/>
          <w:b w:val="0"/>
          <w:i w:val="0"/>
          <w:sz w:val="20"/>
        </w:rPr>
        <w:t>Restriction-calendar job: turn the Phase 0 script into a scheduled job that keeps the horizon current, with a health check and an alert on failure.</w:t>
      </w:r>
    </w:p>
    <w:p>
      <w:pPr>
        <w:pStyle w:val="ListBullet"/>
        <w:spacing w:before="0" w:after="60"/>
      </w:pPr>
      <w:r>
        <w:rPr>
          <w:rFonts w:ascii="Arial" w:hAnsi="Arial" w:eastAsia="Arial"/>
          <w:b w:val="0"/>
          <w:i w:val="0"/>
          <w:sz w:val="20"/>
        </w:rPr>
        <w:t>Webhook receiver: subscribe to Apaleo webhooks (reservation created, amended, cancelled; folio and payment events) and handle them idempotently.</w:t>
      </w:r>
    </w:p>
    <w:p>
      <w:pPr>
        <w:spacing w:before="0" w:after="80"/>
      </w:pPr>
      <w:r>
        <w:rPr>
          <w:rFonts w:ascii="Arial" w:hAnsi="Arial" w:eastAsia="Arial"/>
          <w:b/>
          <w:i w:val="0"/>
          <w:sz w:val="20"/>
        </w:rPr>
        <w:t xml:space="preserve">Depends on: </w:t>
      </w:r>
      <w:r>
        <w:rPr>
          <w:rFonts w:ascii="Arial" w:hAnsi="Arial" w:eastAsia="Arial"/>
          <w:b w:val="0"/>
          <w:i w:val="0"/>
          <w:sz w:val="20"/>
        </w:rPr>
        <w:t>Phase 0.</w:t>
      </w:r>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40" w:type="dxa"/>
              <w:left w:w="180" w:type="dxa"/>
              <w:bottom w:w="140" w:type="dxa"/>
              <w:right w:w="180" w:type="dxa"/>
            </w:tcMar>
          </w:tcPr>
          <w:p>
            <w:pPr>
              <w:spacing w:before="0" w:after="0"/>
            </w:pPr>
            <w:r/>
            <w:r>
              <w:rPr>
                <w:rFonts w:ascii="Arial" w:hAnsi="Arial" w:eastAsia="Arial"/>
                <w:b/>
                <w:i w:val="0"/>
                <w:color w:val="5C4A1A"/>
                <w:sz w:val="20"/>
              </w:rPr>
              <w:t>Done when:</w:t>
            </w:r>
            <w:r>
              <w:rPr>
                <w:rFonts w:ascii="Arial" w:hAnsi="Arial" w:eastAsia="Arial"/>
                <w:b w:val="0"/>
                <w:i w:val="0"/>
                <w:color w:val="5C4A1A"/>
                <w:sz w:val="20"/>
              </w:rPr>
              <w:t xml:space="preserve">  the orchestration API returns valid offers and can create a booking against the sandbox, and the restriction job keeps the calendar current on its own.</w:t>
            </w:r>
          </w:p>
        </w:tc>
      </w:tr>
    </w:tbl>
    <w:p>
      <w:pPr>
        <w:spacing w:before="0" w:after="0"/>
      </w:pPr>
    </w:p>
    <w:p>
      <w:pPr>
        <w:pStyle w:val="Heading1"/>
      </w:pPr>
      <w:r>
        <w:t>4. Phase 2: Storefront Funnel (Discovery to Checkout)</w:t>
      </w:r>
    </w:p>
    <w:p>
      <w:pPr>
        <w:pStyle w:val="Heading2"/>
      </w:pPr>
      <w:r>
        <w:t>4.1 The guest-facing funnel</w:t>
      </w:r>
    </w:p>
    <w:p>
      <w:pPr>
        <w:spacing w:before="0" w:after="120"/>
      </w:pPr>
      <w:r>
        <w:rPr>
          <w:rFonts w:ascii="Arial" w:hAnsi="Arial" w:eastAsia="Arial"/>
          <w:b w:val="0"/>
          <w:i w:val="0"/>
          <w:sz w:val="20"/>
        </w:rPr>
        <w:t>Goal: build the funnel that calls only the orchestration service, matching the Center Parcs shape.</w:t>
      </w:r>
    </w:p>
    <w:p>
      <w:pPr>
        <w:pStyle w:val="ListBullet"/>
        <w:spacing w:before="0" w:after="60"/>
      </w:pPr>
      <w:r>
        <w:rPr>
          <w:rFonts w:ascii="Arial" w:hAnsi="Arial" w:eastAsia="Arial"/>
          <w:b w:val="0"/>
          <w:i w:val="0"/>
          <w:sz w:val="20"/>
        </w:rPr>
        <w:t>Search page: village, arrival date, party size, number of lodges.</w:t>
      </w:r>
    </w:p>
    <w:p>
      <w:pPr>
        <w:pStyle w:val="ListBullet"/>
        <w:spacing w:before="0" w:after="60"/>
      </w:pPr>
      <w:r>
        <w:rPr>
          <w:rFonts w:ascii="Arial" w:hAnsi="Arial" w:eastAsia="Arial"/>
          <w:b w:val="0"/>
          <w:i w:val="0"/>
          <w:sz w:val="20"/>
        </w:rPr>
        <w:t>Lodge-selection page: tiers, each with one price for the whole break, from the offers.</w:t>
      </w:r>
    </w:p>
    <w:p>
      <w:pPr>
        <w:pStyle w:val="ListBullet"/>
        <w:spacing w:before="0" w:after="60"/>
      </w:pPr>
      <w:r>
        <w:rPr>
          <w:rFonts w:ascii="Arial" w:hAnsi="Arial" w:eastAsia="Arial"/>
          <w:b w:val="0"/>
          <w:i w:val="0"/>
          <w:sz w:val="20"/>
        </w:rPr>
        <w:t>Enhancements page: services rendered as add-ons.</w:t>
      </w:r>
    </w:p>
    <w:p>
      <w:pPr>
        <w:pStyle w:val="ListBullet"/>
        <w:spacing w:before="0" w:after="60"/>
      </w:pPr>
      <w:r>
        <w:rPr>
          <w:rFonts w:ascii="Arial" w:hAnsi="Arial" w:eastAsia="Arial"/>
          <w:b w:val="0"/>
          <w:i w:val="0"/>
          <w:sz w:val="20"/>
        </w:rPr>
        <w:t>Guest-details pages: lead and party details, plus vehicle number plate capture.</w:t>
      </w:r>
    </w:p>
    <w:p>
      <w:pPr>
        <w:pStyle w:val="ListBullet"/>
        <w:spacing w:before="0" w:after="60"/>
      </w:pPr>
      <w:r>
        <w:rPr>
          <w:rFonts w:ascii="Arial" w:hAnsi="Arial" w:eastAsia="Arial"/>
          <w:b w:val="0"/>
          <w:i w:val="0"/>
          <w:sz w:val="20"/>
        </w:rPr>
        <w:t>Guest authentication: sign-in and account with Clerk or Auth.js.</w:t>
      </w:r>
    </w:p>
    <w:p>
      <w:pPr>
        <w:pStyle w:val="ListBullet"/>
        <w:spacing w:before="0" w:after="60"/>
      </w:pPr>
      <w:r>
        <w:rPr>
          <w:rFonts w:ascii="Arial" w:hAnsi="Arial" w:eastAsia="Arial"/>
          <w:b w:val="0"/>
          <w:i w:val="0"/>
          <w:sz w:val="20"/>
        </w:rPr>
        <w:t>Confirmation page: driven by the confirmed internal state, not by a redirect.</w:t>
      </w:r>
    </w:p>
    <w:p>
      <w:pPr>
        <w:pStyle w:val="ListBullet"/>
        <w:spacing w:before="0" w:after="60"/>
      </w:pPr>
      <w:r>
        <w:rPr>
          <w:rFonts w:ascii="Arial" w:hAnsi="Arial" w:eastAsia="Arial"/>
          <w:b w:val="0"/>
          <w:i w:val="0"/>
          <w:sz w:val="20"/>
        </w:rPr>
        <w:t>Optional now or deferred: named-lodge upgrade and arrival-time ladder, modelled as paid services.</w:t>
      </w:r>
    </w:p>
    <w:p>
      <w:pPr>
        <w:spacing w:before="0" w:after="80"/>
      </w:pPr>
      <w:r>
        <w:rPr>
          <w:rFonts w:ascii="Arial" w:hAnsi="Arial" w:eastAsia="Arial"/>
          <w:b/>
          <w:i w:val="0"/>
          <w:sz w:val="20"/>
        </w:rPr>
        <w:t xml:space="preserve">Depends on: </w:t>
      </w:r>
      <w:r>
        <w:rPr>
          <w:rFonts w:ascii="Arial" w:hAnsi="Arial" w:eastAsia="Arial"/>
          <w:b w:val="0"/>
          <w:i w:val="0"/>
          <w:sz w:val="20"/>
        </w:rPr>
        <w:t>Phase 1, and the guest-authentication decision (Section 8).</w:t>
      </w:r>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40" w:type="dxa"/>
              <w:left w:w="180" w:type="dxa"/>
              <w:bottom w:w="140" w:type="dxa"/>
              <w:right w:w="180" w:type="dxa"/>
            </w:tcMar>
          </w:tcPr>
          <w:p>
            <w:pPr>
              <w:spacing w:before="0" w:after="0"/>
            </w:pPr>
            <w:r/>
            <w:r>
              <w:rPr>
                <w:rFonts w:ascii="Arial" w:hAnsi="Arial" w:eastAsia="Arial"/>
                <w:b/>
                <w:i w:val="0"/>
                <w:color w:val="5C4A1A"/>
                <w:sz w:val="20"/>
              </w:rPr>
              <w:t>Done when:</w:t>
            </w:r>
            <w:r>
              <w:rPr>
                <w:rFonts w:ascii="Arial" w:hAnsi="Arial" w:eastAsia="Arial"/>
                <w:b w:val="0"/>
                <w:i w:val="0"/>
                <w:color w:val="5C4A1A"/>
                <w:sz w:val="20"/>
              </w:rPr>
              <w:t xml:space="preserve">  a guest can move from search to a held booking entirely in the UI against the sandbox, with payment stubbed.</w:t>
            </w:r>
          </w:p>
        </w:tc>
      </w:tr>
    </w:tbl>
    <w:p>
      <w:pPr>
        <w:spacing w:before="0" w:after="0"/>
      </w:pPr>
    </w:p>
    <w:p>
      <w:pPr>
        <w:pStyle w:val="Heading1"/>
      </w:pPr>
      <w:r>
        <w:t>5. Phase 3: Payment Integration (Pesapal)</w:t>
      </w:r>
    </w:p>
    <w:p>
      <w:pPr>
        <w:pStyle w:val="Heading2"/>
      </w:pPr>
      <w:r>
        <w:t>5.1 Collecting money and recording it</w:t>
      </w:r>
    </w:p>
    <w:p>
      <w:pPr>
        <w:spacing w:before="0" w:after="120"/>
      </w:pPr>
      <w:r>
        <w:rPr>
          <w:rFonts w:ascii="Arial" w:hAnsi="Arial" w:eastAsia="Arial"/>
          <w:b w:val="0"/>
          <w:i w:val="0"/>
          <w:sz w:val="20"/>
        </w:rPr>
        <w:t>Goal: collect real money through Pesapal and record it on the Apaleo folio, following the Payment Integration Guide.</w:t>
      </w:r>
    </w:p>
    <w:p>
      <w:pPr>
        <w:pStyle w:val="ListBullet"/>
        <w:spacing w:before="0" w:after="60"/>
      </w:pPr>
      <w:r>
        <w:rPr>
          <w:rFonts w:ascii="Arial" w:hAnsi="Arial" w:eastAsia="Arial"/>
          <w:b w:val="0"/>
          <w:i w:val="0"/>
          <w:sz w:val="20"/>
        </w:rPr>
        <w:t>Pesapal auth and one-time IPN registration, reusing the ipn id.</w:t>
      </w:r>
    </w:p>
    <w:p>
      <w:pPr>
        <w:pStyle w:val="ListBullet"/>
        <w:spacing w:before="0" w:after="60"/>
      </w:pPr>
      <w:r>
        <w:rPr>
          <w:rFonts w:ascii="Arial" w:hAnsi="Arial" w:eastAsia="Arial"/>
          <w:b w:val="0"/>
          <w:i w:val="0"/>
          <w:sz w:val="20"/>
        </w:rPr>
        <w:t>Submit order, redirect or iframe the guest, and handle the callback and the IPN.</w:t>
      </w:r>
    </w:p>
    <w:p>
      <w:pPr>
        <w:pStyle w:val="ListBullet"/>
        <w:spacing w:before="0" w:after="60"/>
      </w:pPr>
      <w:r>
        <w:rPr>
          <w:rFonts w:ascii="Arial" w:hAnsi="Arial" w:eastAsia="Arial"/>
          <w:b w:val="0"/>
          <w:i w:val="0"/>
          <w:sz w:val="20"/>
        </w:rPr>
        <w:t>Query the transaction status and map the result to internal states.</w:t>
      </w:r>
    </w:p>
    <w:p>
      <w:pPr>
        <w:pStyle w:val="ListBullet"/>
        <w:spacing w:before="0" w:after="60"/>
      </w:pPr>
      <w:r>
        <w:rPr>
          <w:rFonts w:ascii="Arial" w:hAnsi="Arial" w:eastAsia="Arial"/>
          <w:b w:val="0"/>
          <w:i w:val="0"/>
          <w:sz w:val="20"/>
        </w:rPr>
        <w:t>Record the confirmed payment as a manual payment on the folio, idempotent on the tracking id.</w:t>
      </w:r>
    </w:p>
    <w:p>
      <w:pPr>
        <w:pStyle w:val="ListBullet"/>
        <w:spacing w:before="0" w:after="60"/>
      </w:pPr>
      <w:r>
        <w:rPr>
          <w:rFonts w:ascii="Arial" w:hAnsi="Arial" w:eastAsia="Arial"/>
          <w:b w:val="0"/>
          <w:i w:val="0"/>
          <w:sz w:val="20"/>
        </w:rPr>
        <w:t>Deposit then balance: collect the deposit now and the balance closer to arrival.</w:t>
      </w:r>
    </w:p>
    <w:p>
      <w:pPr>
        <w:pStyle w:val="ListBullet"/>
        <w:spacing w:before="0" w:after="60"/>
      </w:pPr>
      <w:r>
        <w:rPr>
          <w:rFonts w:ascii="Arial" w:hAnsi="Arial" w:eastAsia="Arial"/>
          <w:b w:val="0"/>
          <w:i w:val="0"/>
          <w:sz w:val="20"/>
        </w:rPr>
        <w:t>Reconciliation records and the negative-balance refund hook.</w:t>
      </w:r>
    </w:p>
    <w:p>
      <w:pPr>
        <w:spacing w:before="0" w:after="80"/>
      </w:pPr>
      <w:r>
        <w:rPr>
          <w:rFonts w:ascii="Arial" w:hAnsi="Arial" w:eastAsia="Arial"/>
          <w:b/>
          <w:i w:val="0"/>
          <w:sz w:val="20"/>
        </w:rPr>
        <w:t xml:space="preserve">Depends on: </w:t>
      </w:r>
      <w:r>
        <w:rPr>
          <w:rFonts w:ascii="Arial" w:hAnsi="Arial" w:eastAsia="Arial"/>
          <w:b w:val="0"/>
          <w:i w:val="0"/>
          <w:sz w:val="20"/>
        </w:rPr>
        <w:t>Phase 1 and Phase 2, and the deposit-policy and reservation-timing decisions (Section 8).</w:t>
      </w:r>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40" w:type="dxa"/>
              <w:left w:w="180" w:type="dxa"/>
              <w:bottom w:w="140" w:type="dxa"/>
              <w:right w:w="180" w:type="dxa"/>
            </w:tcMar>
          </w:tcPr>
          <w:p>
            <w:pPr>
              <w:spacing w:before="0" w:after="0"/>
            </w:pPr>
            <w:r/>
            <w:r>
              <w:rPr>
                <w:rFonts w:ascii="Arial" w:hAnsi="Arial" w:eastAsia="Arial"/>
                <w:b/>
                <w:i w:val="0"/>
                <w:color w:val="5C4A1A"/>
                <w:sz w:val="20"/>
              </w:rPr>
              <w:t>Done when:</w:t>
            </w:r>
            <w:r>
              <w:rPr>
                <w:rFonts w:ascii="Arial" w:hAnsi="Arial" w:eastAsia="Arial"/>
                <w:b w:val="0"/>
                <w:i w:val="0"/>
                <w:color w:val="5C4A1A"/>
                <w:sz w:val="20"/>
              </w:rPr>
              <w:t xml:space="preserve">  an end-to-end paid booking works in the sandbox using Pesapal's sandbox, the folio settles, and a duplicate IPN does not double-record.</w:t>
            </w:r>
          </w:p>
        </w:tc>
      </w:tr>
    </w:tbl>
    <w:p>
      <w:pPr>
        <w:spacing w:before="0" w:after="0"/>
      </w:pPr>
    </w:p>
    <w:p>
      <w:pPr>
        <w:pStyle w:val="Heading1"/>
      </w:pPr>
      <w:r>
        <w:t>6. Phase 4: Post-Booking, Manage and Notify</w:t>
      </w:r>
    </w:p>
    <w:p>
      <w:pPr>
        <w:pStyle w:val="Heading2"/>
      </w:pPr>
      <w:r>
        <w:t>6.1 Changes and emails</w:t>
      </w:r>
    </w:p>
    <w:p>
      <w:pPr>
        <w:spacing w:before="0" w:after="120"/>
      </w:pPr>
      <w:r>
        <w:rPr>
          <w:rFonts w:ascii="Arial" w:hAnsi="Arial" w:eastAsia="Arial"/>
          <w:b w:val="0"/>
          <w:i w:val="0"/>
          <w:sz w:val="20"/>
        </w:rPr>
        <w:t>Goal: deliver Section 5 of the spec: let guests change bookings within the rules, and send the emails.</w:t>
      </w:r>
    </w:p>
    <w:p>
      <w:pPr>
        <w:pStyle w:val="ListBullet"/>
        <w:spacing w:before="0" w:after="60"/>
      </w:pPr>
      <w:r>
        <w:rPr>
          <w:rFonts w:ascii="Arial" w:hAnsi="Arial" w:eastAsia="Arial"/>
          <w:b w:val="0"/>
          <w:i w:val="0"/>
          <w:sz w:val="20"/>
        </w:rPr>
        <w:t>Manage-my-booking screen: fetch amendment offers, amend, and cancel.</w:t>
      </w:r>
    </w:p>
    <w:p>
      <w:pPr>
        <w:pStyle w:val="ListBullet"/>
        <w:spacing w:before="0" w:after="60"/>
      </w:pPr>
      <w:r>
        <w:rPr>
          <w:rFonts w:ascii="Arial" w:hAnsi="Arial" w:eastAsia="Arial"/>
          <w:b w:val="0"/>
          <w:i w:val="0"/>
          <w:sz w:val="20"/>
        </w:rPr>
        <w:t>Re-apply our rules on every change: keep new dates on a turnover day, respect the deposit and balance state, and apply cancellation and amendment fees.</w:t>
      </w:r>
    </w:p>
    <w:p>
      <w:pPr>
        <w:pStyle w:val="ListBullet"/>
        <w:spacing w:before="0" w:after="60"/>
      </w:pPr>
      <w:r>
        <w:rPr>
          <w:rFonts w:ascii="Arial" w:hAnsi="Arial" w:eastAsia="Arial"/>
          <w:b w:val="0"/>
          <w:i w:val="0"/>
          <w:sz w:val="20"/>
        </w:rPr>
        <w:t>Guest email through Resend on webhook triggers: confirmation, amendment, cancellation, and balance reminder.</w:t>
      </w:r>
    </w:p>
    <w:p>
      <w:pPr>
        <w:pStyle w:val="ListBullet"/>
        <w:spacing w:before="0" w:after="60"/>
      </w:pPr>
      <w:r>
        <w:rPr>
          <w:rFonts w:ascii="Arial" w:hAnsi="Arial" w:eastAsia="Arial"/>
          <w:b w:val="0"/>
          <w:i w:val="0"/>
          <w:sz w:val="20"/>
        </w:rPr>
        <w:t>A guest_notification log so each email is sent exactly once.</w:t>
      </w:r>
    </w:p>
    <w:p>
      <w:pPr>
        <w:spacing w:before="0" w:after="80"/>
      </w:pPr>
      <w:r>
        <w:rPr>
          <w:rFonts w:ascii="Arial" w:hAnsi="Arial" w:eastAsia="Arial"/>
          <w:b/>
          <w:i w:val="0"/>
          <w:sz w:val="20"/>
        </w:rPr>
        <w:t xml:space="preserve">Depends on: </w:t>
      </w:r>
      <w:r>
        <w:rPr>
          <w:rFonts w:ascii="Arial" w:hAnsi="Arial" w:eastAsia="Arial"/>
          <w:b w:val="0"/>
          <w:i w:val="0"/>
          <w:sz w:val="20"/>
        </w:rPr>
        <w:t>Phase 1 (webhooks) and Phase 3 (fees and balances).</w:t>
      </w:r>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40" w:type="dxa"/>
              <w:left w:w="180" w:type="dxa"/>
              <w:bottom w:w="140" w:type="dxa"/>
              <w:right w:w="180" w:type="dxa"/>
            </w:tcMar>
          </w:tcPr>
          <w:p>
            <w:pPr>
              <w:spacing w:before="0" w:after="0"/>
            </w:pPr>
            <w:r/>
            <w:r>
              <w:rPr>
                <w:rFonts w:ascii="Arial" w:hAnsi="Arial" w:eastAsia="Arial"/>
                <w:b/>
                <w:i w:val="0"/>
                <w:color w:val="5C4A1A"/>
                <w:sz w:val="20"/>
              </w:rPr>
              <w:t>Done when:</w:t>
            </w:r>
            <w:r>
              <w:rPr>
                <w:rFonts w:ascii="Arial" w:hAnsi="Arial" w:eastAsia="Arial"/>
                <w:b w:val="0"/>
                <w:i w:val="0"/>
                <w:color w:val="5C4A1A"/>
                <w:sz w:val="20"/>
              </w:rPr>
              <w:t xml:space="preserve">  a guest can amend and cancel within the rules, and the correct email fires once for each event.</w:t>
            </w:r>
          </w:p>
        </w:tc>
      </w:tr>
    </w:tbl>
    <w:p>
      <w:pPr>
        <w:spacing w:before="0" w:after="0"/>
      </w:pPr>
    </w:p>
    <w:p>
      <w:pPr>
        <w:pStyle w:val="Heading1"/>
      </w:pPr>
      <w:r>
        <w:t>7. Phase 5: Hardening and Go-Live</w:t>
      </w:r>
    </w:p>
    <w:p>
      <w:pPr>
        <w:pStyle w:val="Heading2"/>
      </w:pPr>
      <w:r>
        <w:t>7.1 Production readiness</w:t>
      </w:r>
    </w:p>
    <w:p>
      <w:pPr>
        <w:spacing w:before="0" w:after="120"/>
      </w:pPr>
      <w:r>
        <w:rPr>
          <w:rFonts w:ascii="Arial" w:hAnsi="Arial" w:eastAsia="Arial"/>
          <w:b w:val="0"/>
          <w:i w:val="0"/>
          <w:sz w:val="20"/>
        </w:rPr>
        <w:t>Goal: make it production-ready and take it live.</w:t>
      </w:r>
    </w:p>
    <w:p>
      <w:pPr>
        <w:pStyle w:val="ListBullet"/>
        <w:spacing w:before="0" w:after="60"/>
      </w:pPr>
      <w:r>
        <w:rPr>
          <w:rFonts w:ascii="Arial" w:hAnsi="Arial" w:eastAsia="Arial"/>
          <w:b w:val="0"/>
          <w:i w:val="0"/>
          <w:sz w:val="20"/>
        </w:rPr>
        <w:t>Resilience: retry and backoff for rate limits, brief offer caching, and clear error states.</w:t>
      </w:r>
    </w:p>
    <w:p>
      <w:pPr>
        <w:pStyle w:val="ListBullet"/>
        <w:spacing w:before="0" w:after="60"/>
      </w:pPr>
      <w:r>
        <w:rPr>
          <w:rFonts w:ascii="Arial" w:hAnsi="Arial" w:eastAsia="Arial"/>
          <w:b w:val="0"/>
          <w:i w:val="0"/>
          <w:sz w:val="20"/>
        </w:rPr>
        <w:t>Security and compliance review: secrets management, hosted or iframe payment flow, HTTPS everywhere, webhook verification, and Kenya Data Protection Act obligations.</w:t>
      </w:r>
    </w:p>
    <w:p>
      <w:pPr>
        <w:pStyle w:val="ListBullet"/>
        <w:spacing w:before="0" w:after="60"/>
      </w:pPr>
      <w:r>
        <w:rPr>
          <w:rFonts w:ascii="Arial" w:hAnsi="Arial" w:eastAsia="Arial"/>
          <w:b w:val="0"/>
          <w:i w:val="0"/>
          <w:sz w:val="20"/>
        </w:rPr>
        <w:t>Observability: logging, and the two alerts that matter, money collected but not recorded, and the restriction job failing.</w:t>
      </w:r>
    </w:p>
    <w:p>
      <w:pPr>
        <w:pStyle w:val="ListBullet"/>
        <w:spacing w:before="0" w:after="60"/>
      </w:pPr>
      <w:r>
        <w:rPr>
          <w:rFonts w:ascii="Arial" w:hAnsi="Arial" w:eastAsia="Arial"/>
          <w:b w:val="0"/>
          <w:i w:val="0"/>
          <w:sz w:val="20"/>
        </w:rPr>
        <w:t>Apaleo production enablement: consent, domain whitelisting, and live credentials; plus Pesapal production credentials.</w:t>
      </w:r>
    </w:p>
    <w:p>
      <w:pPr>
        <w:pStyle w:val="ListBullet"/>
        <w:spacing w:before="0" w:after="60"/>
      </w:pPr>
      <w:r>
        <w:rPr>
          <w:rFonts w:ascii="Arial" w:hAnsi="Arial" w:eastAsia="Arial"/>
          <w:b w:val="0"/>
          <w:i w:val="0"/>
          <w:sz w:val="20"/>
        </w:rPr>
        <w:t>ANPR gate handoff: pass captured plates to the gate system, coordinated with the Unity East ANPR work.</w:t>
      </w:r>
    </w:p>
    <w:p>
      <w:pPr>
        <w:pStyle w:val="ListBullet"/>
        <w:spacing w:before="0" w:after="60"/>
      </w:pPr>
      <w:r>
        <w:rPr>
          <w:rFonts w:ascii="Arial" w:hAnsi="Arial" w:eastAsia="Arial"/>
          <w:b w:val="0"/>
          <w:i w:val="0"/>
          <w:sz w:val="20"/>
        </w:rPr>
        <w:t>Data and tax config: KES pricing, VAT at 16 percent, any tourism levy, and the final lodge-type and rate-plan taxonomy.</w:t>
      </w:r>
    </w:p>
    <w:p>
      <w:pPr>
        <w:pStyle w:val="ListBullet"/>
        <w:spacing w:before="0" w:after="60"/>
      </w:pPr>
      <w:r>
        <w:rPr>
          <w:rFonts w:ascii="Arial" w:hAnsi="Arial" w:eastAsia="Arial"/>
          <w:b w:val="0"/>
          <w:i w:val="0"/>
          <w:sz w:val="20"/>
        </w:rPr>
        <w:t>User acceptance testing and a launch checklist.</w:t>
      </w:r>
    </w:p>
    <w:p>
      <w:pPr>
        <w:spacing w:before="0" w:after="80"/>
      </w:pPr>
      <w:r>
        <w:rPr>
          <w:rFonts w:ascii="Arial" w:hAnsi="Arial" w:eastAsia="Arial"/>
          <w:b/>
          <w:i w:val="0"/>
          <w:sz w:val="20"/>
        </w:rPr>
        <w:t xml:space="preserve">Depends on: </w:t>
      </w:r>
      <w:r>
        <w:rPr>
          <w:rFonts w:ascii="Arial" w:hAnsi="Arial" w:eastAsia="Arial"/>
          <w:b w:val="0"/>
          <w:i w:val="0"/>
          <w:sz w:val="20"/>
        </w:rPr>
        <w:t>all prior phases.</w:t>
      </w:r>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40" w:type="dxa"/>
              <w:left w:w="180" w:type="dxa"/>
              <w:bottom w:w="140" w:type="dxa"/>
              <w:right w:w="180" w:type="dxa"/>
            </w:tcMar>
          </w:tcPr>
          <w:p>
            <w:pPr>
              <w:spacing w:before="0" w:after="0"/>
            </w:pPr>
            <w:r/>
            <w:r>
              <w:rPr>
                <w:rFonts w:ascii="Arial" w:hAnsi="Arial" w:eastAsia="Arial"/>
                <w:b/>
                <w:i w:val="0"/>
                <w:color w:val="5C4A1A"/>
                <w:sz w:val="20"/>
              </w:rPr>
              <w:t>Done when:</w:t>
            </w:r>
            <w:r>
              <w:rPr>
                <w:rFonts w:ascii="Arial" w:hAnsi="Arial" w:eastAsia="Arial"/>
                <w:b w:val="0"/>
                <w:i w:val="0"/>
                <w:color w:val="5C4A1A"/>
                <w:sz w:val="20"/>
              </w:rPr>
              <w:t xml:space="preserve">  a real booking works against production, payments settle, emails send, and the monitoring and alerts are live.</w:t>
            </w:r>
          </w:p>
        </w:tc>
      </w:tr>
    </w:tbl>
    <w:p>
      <w:pPr>
        <w:spacing w:before="0" w:after="0"/>
      </w:pPr>
    </w:p>
    <w:p>
      <w:pPr>
        <w:pStyle w:val="Heading1"/>
      </w:pPr>
      <w:r>
        <w:t>8. Decisions to Resolve First</w:t>
      </w:r>
    </w:p>
    <w:p>
      <w:pPr>
        <w:spacing w:before="0" w:after="120"/>
      </w:pPr>
      <w:r>
        <w:rPr>
          <w:rFonts w:ascii="Arial" w:hAnsi="Arial" w:eastAsia="Arial"/>
          <w:b w:val="0"/>
          <w:i w:val="0"/>
          <w:sz w:val="20"/>
        </w:rPr>
        <w:t>These are the specification's deferred decisions, ordered by the phase that first needs them. Settle each before starting its phase, so the build never stalls waiting on a choice.</w:t>
      </w:r>
    </w:p>
    <w:tbl>
      <w:tblPr>
        <w:tblW w:type="dxa" w:w="9360"/>
        <w:tblLayout w:type="fixed"/>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050"/>
        <w:gridCol w:w="1500"/>
        <w:gridCol w:w="4810"/>
      </w:tblGrid>
      <w:tr>
        <w:tc>
          <w:tcPr>
            <w:tcW w:type="dxa" w:w="305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Decision</w:t>
            </w:r>
          </w:p>
        </w:tc>
        <w:tc>
          <w:tcPr>
            <w:tcW w:type="dxa" w:w="15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Needed by</w:t>
            </w:r>
          </w:p>
        </w:tc>
        <w:tc>
          <w:tcPr>
            <w:tcW w:type="dxa" w:w="481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Note</w:t>
            </w:r>
          </w:p>
        </w:tc>
      </w:tr>
      <w:tr>
        <w:tc>
          <w:tcPr>
            <w:tcW w:type="dxa" w:w="3050"/>
            <w:shd w:val="clear" w:color="auto" w:fill="FFFFFF"/>
            <w:tcMar>
              <w:top w:w="60" w:type="dxa"/>
              <w:left w:w="110" w:type="dxa"/>
              <w:bottom w:w="60" w:type="dxa"/>
              <w:right w:w="110" w:type="dxa"/>
            </w:tcMar>
          </w:tcPr>
          <w:p>
            <w:pPr>
              <w:spacing w:before="0" w:after="0"/>
            </w:pPr>
            <w:r/>
            <w:r>
              <w:rPr>
                <w:rFonts w:ascii="Arial" w:hAnsi="Arial" w:eastAsia="Arial"/>
                <w:b w:val="0"/>
                <w:i w:val="0"/>
                <w:sz w:val="19"/>
              </w:rPr>
              <w:t>Break menu and any maximum-stay cap</w:t>
            </w:r>
          </w:p>
        </w:tc>
        <w:tc>
          <w:tcPr>
            <w:tcW w:type="dxa" w:w="1500"/>
            <w:shd w:val="clear" w:color="auto" w:fill="FFFFFF"/>
            <w:tcMar>
              <w:top w:w="60" w:type="dxa"/>
              <w:left w:w="110" w:type="dxa"/>
              <w:bottom w:w="60" w:type="dxa"/>
              <w:right w:w="110" w:type="dxa"/>
            </w:tcMar>
          </w:tcPr>
          <w:p>
            <w:pPr>
              <w:spacing w:before="0" w:after="0"/>
            </w:pPr>
            <w:r/>
            <w:r>
              <w:rPr>
                <w:rFonts w:ascii="Arial" w:hAnsi="Arial" w:eastAsia="Arial"/>
                <w:b w:val="0"/>
                <w:i w:val="0"/>
                <w:sz w:val="19"/>
              </w:rPr>
              <w:t>Phase 0</w:t>
            </w:r>
          </w:p>
        </w:tc>
        <w:tc>
          <w:tcPr>
            <w:tcW w:type="dxa" w:w="4810"/>
            <w:shd w:val="clear" w:color="auto" w:fill="FFFFFF"/>
            <w:tcMar>
              <w:top w:w="60" w:type="dxa"/>
              <w:left w:w="110" w:type="dxa"/>
              <w:bottom w:w="60" w:type="dxa"/>
              <w:right w:w="110" w:type="dxa"/>
            </w:tcMar>
          </w:tcPr>
          <w:p>
            <w:pPr>
              <w:spacing w:before="0" w:after="0"/>
            </w:pPr>
            <w:r/>
            <w:r>
              <w:rPr>
                <w:rFonts w:ascii="Arial" w:hAnsi="Arial" w:eastAsia="Arial"/>
                <w:b w:val="0"/>
                <w:i w:val="0"/>
                <w:sz w:val="19"/>
              </w:rPr>
              <w:t>Drives the restriction calendar and the provisioning script.</w:t>
            </w:r>
          </w:p>
        </w:tc>
      </w:tr>
      <w:tr>
        <w:tc>
          <w:tcPr>
            <w:tcW w:type="dxa" w:w="3050"/>
            <w:shd w:val="clear" w:color="auto" w:fill="EAF3F0"/>
            <w:tcMar>
              <w:top w:w="60" w:type="dxa"/>
              <w:left w:w="110" w:type="dxa"/>
              <w:bottom w:w="60" w:type="dxa"/>
              <w:right w:w="110" w:type="dxa"/>
            </w:tcMar>
          </w:tcPr>
          <w:p>
            <w:pPr>
              <w:spacing w:before="0" w:after="0"/>
            </w:pPr>
            <w:r/>
            <w:r>
              <w:rPr>
                <w:rFonts w:ascii="Arial" w:hAnsi="Arial" w:eastAsia="Arial"/>
                <w:b w:val="0"/>
                <w:i w:val="0"/>
                <w:sz w:val="19"/>
              </w:rPr>
              <w:t>Lodge-type and rate-plan taxonomy</w:t>
            </w:r>
          </w:p>
        </w:tc>
        <w:tc>
          <w:tcPr>
            <w:tcW w:type="dxa" w:w="1500"/>
            <w:shd w:val="clear" w:color="auto" w:fill="EAF3F0"/>
            <w:tcMar>
              <w:top w:w="60" w:type="dxa"/>
              <w:left w:w="110" w:type="dxa"/>
              <w:bottom w:w="60" w:type="dxa"/>
              <w:right w:w="110" w:type="dxa"/>
            </w:tcMar>
          </w:tcPr>
          <w:p>
            <w:pPr>
              <w:spacing w:before="0" w:after="0"/>
            </w:pPr>
            <w:r/>
            <w:r>
              <w:rPr>
                <w:rFonts w:ascii="Arial" w:hAnsi="Arial" w:eastAsia="Arial"/>
                <w:b w:val="0"/>
                <w:i w:val="0"/>
                <w:sz w:val="19"/>
              </w:rPr>
              <w:t>Phase 0</w:t>
            </w:r>
          </w:p>
        </w:tc>
        <w:tc>
          <w:tcPr>
            <w:tcW w:type="dxa" w:w="4810"/>
            <w:shd w:val="clear" w:color="auto" w:fill="EAF3F0"/>
            <w:tcMar>
              <w:top w:w="60" w:type="dxa"/>
              <w:left w:w="110" w:type="dxa"/>
              <w:bottom w:w="60" w:type="dxa"/>
              <w:right w:w="110" w:type="dxa"/>
            </w:tcMar>
          </w:tcPr>
          <w:p>
            <w:pPr>
              <w:spacing w:before="0" w:after="0"/>
            </w:pPr>
            <w:r/>
            <w:r>
              <w:rPr>
                <w:rFonts w:ascii="Arial" w:hAnsi="Arial" w:eastAsia="Arial"/>
                <w:b w:val="0"/>
                <w:i w:val="0"/>
                <w:sz w:val="19"/>
              </w:rPr>
              <w:t>The actual unit groups and rate plans to create.</w:t>
            </w:r>
          </w:p>
        </w:tc>
      </w:tr>
      <w:tr>
        <w:tc>
          <w:tcPr>
            <w:tcW w:type="dxa" w:w="3050"/>
            <w:shd w:val="clear" w:color="auto" w:fill="FFFFFF"/>
            <w:tcMar>
              <w:top w:w="60" w:type="dxa"/>
              <w:left w:w="110" w:type="dxa"/>
              <w:bottom w:w="60" w:type="dxa"/>
              <w:right w:w="110" w:type="dxa"/>
            </w:tcMar>
          </w:tcPr>
          <w:p>
            <w:pPr>
              <w:spacing w:before="0" w:after="0"/>
            </w:pPr>
            <w:r/>
            <w:r>
              <w:rPr>
                <w:rFonts w:ascii="Arial" w:hAnsi="Arial" w:eastAsia="Arial"/>
                <w:b w:val="0"/>
                <w:i w:val="0"/>
                <w:sz w:val="19"/>
              </w:rPr>
              <w:t>Currency and tax (KES, VAT 16%, tourism levy)</w:t>
            </w:r>
          </w:p>
        </w:tc>
        <w:tc>
          <w:tcPr>
            <w:tcW w:type="dxa" w:w="1500"/>
            <w:shd w:val="clear" w:color="auto" w:fill="FFFFFF"/>
            <w:tcMar>
              <w:top w:w="60" w:type="dxa"/>
              <w:left w:w="110" w:type="dxa"/>
              <w:bottom w:w="60" w:type="dxa"/>
              <w:right w:w="110" w:type="dxa"/>
            </w:tcMar>
          </w:tcPr>
          <w:p>
            <w:pPr>
              <w:spacing w:before="0" w:after="0"/>
            </w:pPr>
            <w:r/>
            <w:r>
              <w:rPr>
                <w:rFonts w:ascii="Arial" w:hAnsi="Arial" w:eastAsia="Arial"/>
                <w:b w:val="0"/>
                <w:i w:val="0"/>
                <w:sz w:val="19"/>
              </w:rPr>
              <w:t>Phase 0 to 1</w:t>
            </w:r>
          </w:p>
        </w:tc>
        <w:tc>
          <w:tcPr>
            <w:tcW w:type="dxa" w:w="4810"/>
            <w:shd w:val="clear" w:color="auto" w:fill="FFFFFF"/>
            <w:tcMar>
              <w:top w:w="60" w:type="dxa"/>
              <w:left w:w="110" w:type="dxa"/>
              <w:bottom w:w="60" w:type="dxa"/>
              <w:right w:w="110" w:type="dxa"/>
            </w:tcMar>
          </w:tcPr>
          <w:p>
            <w:pPr>
              <w:spacing w:before="0" w:after="0"/>
            </w:pPr>
            <w:r/>
            <w:r>
              <w:rPr>
                <w:rFonts w:ascii="Arial" w:hAnsi="Arial" w:eastAsia="Arial"/>
                <w:b w:val="0"/>
                <w:i w:val="0"/>
                <w:sz w:val="19"/>
              </w:rPr>
              <w:t>How prices and taxes sit on rate plans and folios.</w:t>
            </w:r>
          </w:p>
        </w:tc>
      </w:tr>
      <w:tr>
        <w:tc>
          <w:tcPr>
            <w:tcW w:type="dxa" w:w="3050"/>
            <w:shd w:val="clear" w:color="auto" w:fill="EAF3F0"/>
            <w:tcMar>
              <w:top w:w="60" w:type="dxa"/>
              <w:left w:w="110" w:type="dxa"/>
              <w:bottom w:w="60" w:type="dxa"/>
              <w:right w:w="110" w:type="dxa"/>
            </w:tcMar>
          </w:tcPr>
          <w:p>
            <w:pPr>
              <w:spacing w:before="0" w:after="0"/>
            </w:pPr>
            <w:r/>
            <w:r>
              <w:rPr>
                <w:rFonts w:ascii="Arial" w:hAnsi="Arial" w:eastAsia="Arial"/>
                <w:b w:val="0"/>
                <w:i w:val="0"/>
                <w:sz w:val="19"/>
              </w:rPr>
              <w:t>Guest authentication provider</w:t>
            </w:r>
          </w:p>
        </w:tc>
        <w:tc>
          <w:tcPr>
            <w:tcW w:type="dxa" w:w="1500"/>
            <w:shd w:val="clear" w:color="auto" w:fill="EAF3F0"/>
            <w:tcMar>
              <w:top w:w="60" w:type="dxa"/>
              <w:left w:w="110" w:type="dxa"/>
              <w:bottom w:w="60" w:type="dxa"/>
              <w:right w:w="110" w:type="dxa"/>
            </w:tcMar>
          </w:tcPr>
          <w:p>
            <w:pPr>
              <w:spacing w:before="0" w:after="0"/>
            </w:pPr>
            <w:r/>
            <w:r>
              <w:rPr>
                <w:rFonts w:ascii="Arial" w:hAnsi="Arial" w:eastAsia="Arial"/>
                <w:b w:val="0"/>
                <w:i w:val="0"/>
                <w:sz w:val="19"/>
              </w:rPr>
              <w:t>Phase 2</w:t>
            </w:r>
          </w:p>
        </w:tc>
        <w:tc>
          <w:tcPr>
            <w:tcW w:type="dxa" w:w="4810"/>
            <w:shd w:val="clear" w:color="auto" w:fill="EAF3F0"/>
            <w:tcMar>
              <w:top w:w="60" w:type="dxa"/>
              <w:left w:w="110" w:type="dxa"/>
              <w:bottom w:w="60" w:type="dxa"/>
              <w:right w:w="110" w:type="dxa"/>
            </w:tcMar>
          </w:tcPr>
          <w:p>
            <w:pPr>
              <w:spacing w:before="0" w:after="0"/>
            </w:pPr>
            <w:r/>
            <w:r>
              <w:rPr>
                <w:rFonts w:ascii="Arial" w:hAnsi="Arial" w:eastAsia="Arial"/>
                <w:b w:val="0"/>
                <w:i w:val="0"/>
                <w:sz w:val="19"/>
              </w:rPr>
              <w:t>Clerk, Auth.js, or another.</w:t>
            </w:r>
          </w:p>
        </w:tc>
      </w:tr>
      <w:tr>
        <w:tc>
          <w:tcPr>
            <w:tcW w:type="dxa" w:w="3050"/>
            <w:shd w:val="clear" w:color="auto" w:fill="FFFFFF"/>
            <w:tcMar>
              <w:top w:w="60" w:type="dxa"/>
              <w:left w:w="110" w:type="dxa"/>
              <w:bottom w:w="60" w:type="dxa"/>
              <w:right w:w="110" w:type="dxa"/>
            </w:tcMar>
          </w:tcPr>
          <w:p>
            <w:pPr>
              <w:spacing w:before="0" w:after="0"/>
            </w:pPr>
            <w:r/>
            <w:r>
              <w:rPr>
                <w:rFonts w:ascii="Arial" w:hAnsi="Arial" w:eastAsia="Arial"/>
                <w:b w:val="0"/>
                <w:i w:val="0"/>
                <w:sz w:val="19"/>
              </w:rPr>
              <w:t>Reservation before or after payment</w:t>
            </w:r>
          </w:p>
        </w:tc>
        <w:tc>
          <w:tcPr>
            <w:tcW w:type="dxa" w:w="1500"/>
            <w:shd w:val="clear" w:color="auto" w:fill="FFFFFF"/>
            <w:tcMar>
              <w:top w:w="60" w:type="dxa"/>
              <w:left w:w="110" w:type="dxa"/>
              <w:bottom w:w="60" w:type="dxa"/>
              <w:right w:w="110" w:type="dxa"/>
            </w:tcMar>
          </w:tcPr>
          <w:p>
            <w:pPr>
              <w:spacing w:before="0" w:after="0"/>
            </w:pPr>
            <w:r/>
            <w:r>
              <w:rPr>
                <w:rFonts w:ascii="Arial" w:hAnsi="Arial" w:eastAsia="Arial"/>
                <w:b w:val="0"/>
                <w:i w:val="0"/>
                <w:sz w:val="19"/>
              </w:rPr>
              <w:t>Phase 3</w:t>
            </w:r>
          </w:p>
        </w:tc>
        <w:tc>
          <w:tcPr>
            <w:tcW w:type="dxa" w:w="4810"/>
            <w:shd w:val="clear" w:color="auto" w:fill="FFFFFF"/>
            <w:tcMar>
              <w:top w:w="60" w:type="dxa"/>
              <w:left w:w="110" w:type="dxa"/>
              <w:bottom w:w="60" w:type="dxa"/>
              <w:right w:w="110" w:type="dxa"/>
            </w:tcMar>
          </w:tcPr>
          <w:p>
            <w:pPr>
              <w:spacing w:before="0" w:after="0"/>
            </w:pPr>
            <w:r/>
            <w:r>
              <w:rPr>
                <w:rFonts w:ascii="Arial" w:hAnsi="Arial" w:eastAsia="Arial"/>
                <w:b w:val="0"/>
                <w:i w:val="0"/>
                <w:sz w:val="19"/>
              </w:rPr>
              <w:t>Simpler with the reservation first; orphan risk if so. Shared with the Payment Guide.</w:t>
            </w:r>
          </w:p>
        </w:tc>
      </w:tr>
      <w:tr>
        <w:tc>
          <w:tcPr>
            <w:tcW w:type="dxa" w:w="3050"/>
            <w:shd w:val="clear" w:color="auto" w:fill="EAF3F0"/>
            <w:tcMar>
              <w:top w:w="60" w:type="dxa"/>
              <w:left w:w="110" w:type="dxa"/>
              <w:bottom w:w="60" w:type="dxa"/>
              <w:right w:w="110" w:type="dxa"/>
            </w:tcMar>
          </w:tcPr>
          <w:p>
            <w:pPr>
              <w:spacing w:before="0" w:after="0"/>
            </w:pPr>
            <w:r/>
            <w:r>
              <w:rPr>
                <w:rFonts w:ascii="Arial" w:hAnsi="Arial" w:eastAsia="Arial"/>
                <w:b w:val="0"/>
                <w:i w:val="0"/>
                <w:sz w:val="19"/>
              </w:rPr>
              <w:t>Deposit percentage and balance timing</w:t>
            </w:r>
          </w:p>
        </w:tc>
        <w:tc>
          <w:tcPr>
            <w:tcW w:type="dxa" w:w="1500"/>
            <w:shd w:val="clear" w:color="auto" w:fill="EAF3F0"/>
            <w:tcMar>
              <w:top w:w="60" w:type="dxa"/>
              <w:left w:w="110" w:type="dxa"/>
              <w:bottom w:w="60" w:type="dxa"/>
              <w:right w:w="110" w:type="dxa"/>
            </w:tcMar>
          </w:tcPr>
          <w:p>
            <w:pPr>
              <w:spacing w:before="0" w:after="0"/>
            </w:pPr>
            <w:r/>
            <w:r>
              <w:rPr>
                <w:rFonts w:ascii="Arial" w:hAnsi="Arial" w:eastAsia="Arial"/>
                <w:b w:val="0"/>
                <w:i w:val="0"/>
                <w:sz w:val="19"/>
              </w:rPr>
              <w:t>Phase 3</w:t>
            </w:r>
          </w:p>
        </w:tc>
        <w:tc>
          <w:tcPr>
            <w:tcW w:type="dxa" w:w="4810"/>
            <w:shd w:val="clear" w:color="auto" w:fill="EAF3F0"/>
            <w:tcMar>
              <w:top w:w="60" w:type="dxa"/>
              <w:left w:w="110" w:type="dxa"/>
              <w:bottom w:w="60" w:type="dxa"/>
              <w:right w:w="110" w:type="dxa"/>
            </w:tcMar>
          </w:tcPr>
          <w:p>
            <w:pPr>
              <w:spacing w:before="0" w:after="0"/>
            </w:pPr>
            <w:r/>
            <w:r>
              <w:rPr>
                <w:rFonts w:ascii="Arial" w:hAnsi="Arial" w:eastAsia="Arial"/>
                <w:b w:val="0"/>
                <w:i w:val="0"/>
                <w:sz w:val="19"/>
              </w:rPr>
              <w:t>Drives whether tokenisation is needed.</w:t>
            </w:r>
          </w:p>
        </w:tc>
      </w:tr>
      <w:tr>
        <w:tc>
          <w:tcPr>
            <w:tcW w:type="dxa" w:w="3050"/>
            <w:shd w:val="clear" w:color="auto" w:fill="FFFFFF"/>
            <w:tcMar>
              <w:top w:w="60" w:type="dxa"/>
              <w:left w:w="110" w:type="dxa"/>
              <w:bottom w:w="60" w:type="dxa"/>
              <w:right w:w="110" w:type="dxa"/>
            </w:tcMar>
          </w:tcPr>
          <w:p>
            <w:pPr>
              <w:spacing w:before="0" w:after="0"/>
            </w:pPr>
            <w:r/>
            <w:r>
              <w:rPr>
                <w:rFonts w:ascii="Arial" w:hAnsi="Arial" w:eastAsia="Arial"/>
                <w:b w:val="0"/>
                <w:i w:val="0"/>
                <w:sz w:val="19"/>
              </w:rPr>
              <w:t>Email provider and templates</w:t>
            </w:r>
          </w:p>
        </w:tc>
        <w:tc>
          <w:tcPr>
            <w:tcW w:type="dxa" w:w="1500"/>
            <w:shd w:val="clear" w:color="auto" w:fill="FFFFFF"/>
            <w:tcMar>
              <w:top w:w="60" w:type="dxa"/>
              <w:left w:w="110" w:type="dxa"/>
              <w:bottom w:w="60" w:type="dxa"/>
              <w:right w:w="110" w:type="dxa"/>
            </w:tcMar>
          </w:tcPr>
          <w:p>
            <w:pPr>
              <w:spacing w:before="0" w:after="0"/>
            </w:pPr>
            <w:r/>
            <w:r>
              <w:rPr>
                <w:rFonts w:ascii="Arial" w:hAnsi="Arial" w:eastAsia="Arial"/>
                <w:b w:val="0"/>
                <w:i w:val="0"/>
                <w:sz w:val="19"/>
              </w:rPr>
              <w:t>Phase 4</w:t>
            </w:r>
          </w:p>
        </w:tc>
        <w:tc>
          <w:tcPr>
            <w:tcW w:type="dxa" w:w="4810"/>
            <w:shd w:val="clear" w:color="auto" w:fill="FFFFFF"/>
            <w:tcMar>
              <w:top w:w="60" w:type="dxa"/>
              <w:left w:w="110" w:type="dxa"/>
              <w:bottom w:w="60" w:type="dxa"/>
              <w:right w:w="110" w:type="dxa"/>
            </w:tcMar>
          </w:tcPr>
          <w:p>
            <w:pPr>
              <w:spacing w:before="0" w:after="0"/>
            </w:pPr>
            <w:r/>
            <w:r>
              <w:rPr>
                <w:rFonts w:ascii="Arial" w:hAnsi="Arial" w:eastAsia="Arial"/>
                <w:b w:val="0"/>
                <w:i w:val="0"/>
                <w:sz w:val="19"/>
              </w:rPr>
              <w:t>Resend is the recommendation; templates still to design.</w:t>
            </w:r>
          </w:p>
        </w:tc>
      </w:tr>
      <w:tr>
        <w:tc>
          <w:tcPr>
            <w:tcW w:type="dxa" w:w="3050"/>
            <w:shd w:val="clear" w:color="auto" w:fill="EAF3F0"/>
            <w:tcMar>
              <w:top w:w="60" w:type="dxa"/>
              <w:left w:w="110" w:type="dxa"/>
              <w:bottom w:w="60" w:type="dxa"/>
              <w:right w:w="110" w:type="dxa"/>
            </w:tcMar>
          </w:tcPr>
          <w:p>
            <w:pPr>
              <w:spacing w:before="0" w:after="0"/>
            </w:pPr>
            <w:r/>
            <w:r>
              <w:rPr>
                <w:rFonts w:ascii="Arial" w:hAnsi="Arial" w:eastAsia="Arial"/>
                <w:b w:val="0"/>
                <w:i w:val="0"/>
                <w:sz w:val="19"/>
              </w:rPr>
              <w:t>Plate-to-gate handoff</w:t>
            </w:r>
          </w:p>
        </w:tc>
        <w:tc>
          <w:tcPr>
            <w:tcW w:type="dxa" w:w="1500"/>
            <w:shd w:val="clear" w:color="auto" w:fill="EAF3F0"/>
            <w:tcMar>
              <w:top w:w="60" w:type="dxa"/>
              <w:left w:w="110" w:type="dxa"/>
              <w:bottom w:w="60" w:type="dxa"/>
              <w:right w:w="110" w:type="dxa"/>
            </w:tcMar>
          </w:tcPr>
          <w:p>
            <w:pPr>
              <w:spacing w:before="0" w:after="0"/>
            </w:pPr>
            <w:r/>
            <w:r>
              <w:rPr>
                <w:rFonts w:ascii="Arial" w:hAnsi="Arial" w:eastAsia="Arial"/>
                <w:b w:val="0"/>
                <w:i w:val="0"/>
                <w:sz w:val="19"/>
              </w:rPr>
              <w:t>Phase 5</w:t>
            </w:r>
          </w:p>
        </w:tc>
        <w:tc>
          <w:tcPr>
            <w:tcW w:type="dxa" w:w="4810"/>
            <w:shd w:val="clear" w:color="auto" w:fill="EAF3F0"/>
            <w:tcMar>
              <w:top w:w="60" w:type="dxa"/>
              <w:left w:w="110" w:type="dxa"/>
              <w:bottom w:w="60" w:type="dxa"/>
              <w:right w:w="110" w:type="dxa"/>
            </w:tcMar>
          </w:tcPr>
          <w:p>
            <w:pPr>
              <w:spacing w:before="0" w:after="0"/>
            </w:pPr>
            <w:r/>
            <w:r>
              <w:rPr>
                <w:rFonts w:ascii="Arial" w:hAnsi="Arial" w:eastAsia="Arial"/>
                <w:b w:val="0"/>
                <w:i w:val="0"/>
                <w:sz w:val="19"/>
              </w:rPr>
              <w:t>How captured plates reach the ANPR system.</w:t>
            </w:r>
          </w:p>
        </w:tc>
      </w:tr>
    </w:tbl>
    <w:p>
      <w:pPr>
        <w:spacing w:before="0" w:after="40"/>
      </w:pPr>
    </w:p>
    <w:p>
      <w:pPr>
        <w:pStyle w:val="Heading1"/>
      </w:pPr>
      <w:r>
        <w:t>9. Running This in Trello (Scrumban)</w:t>
      </w:r>
    </w:p>
    <w:p>
      <w:pPr>
        <w:spacing w:before="0" w:after="120"/>
      </w:pPr>
      <w:r>
        <w:rPr>
          <w:rFonts w:ascii="Arial" w:hAnsi="Arial" w:eastAsia="Arial"/>
          <w:b w:val="0"/>
          <w:i w:val="0"/>
          <w:sz w:val="20"/>
        </w:rPr>
        <w:t>One board, Scrumban. Cards flow left to right through the workflow states, while labels tell you which phase and which part of the stack each card belongs to. The whole system is only as good as two habits: keeping the In Progress limit low, and only pulling a card that is truly ready.</w:t>
      </w:r>
    </w:p>
    <w:p>
      <w:pPr>
        <w:pStyle w:val="Heading2"/>
      </w:pPr>
      <w:r>
        <w:t>9.1 Board lists (the workflow)</w:t>
      </w:r>
    </w:p>
    <w:tbl>
      <w:tblPr>
        <w:tblW w:type="dxa" w:w="9360"/>
        <w:tblLayout w:type="fixed"/>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900"/>
        <w:gridCol w:w="5560"/>
        <w:gridCol w:w="1900"/>
      </w:tblGrid>
      <w:tr>
        <w:tc>
          <w:tcPr>
            <w:tcW w:type="dxa" w:w="19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List</w:t>
            </w:r>
          </w:p>
        </w:tc>
        <w:tc>
          <w:tcPr>
            <w:tcW w:type="dxa" w:w="556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Purpose</w:t>
            </w:r>
          </w:p>
        </w:tc>
        <w:tc>
          <w:tcPr>
            <w:tcW w:type="dxa" w:w="19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WIP limit</w:t>
            </w:r>
          </w:p>
        </w:tc>
      </w:tr>
      <w:tr>
        <w:tc>
          <w:tcPr>
            <w:tcW w:type="dxa" w:w="1900"/>
            <w:shd w:val="clear" w:color="auto" w:fill="FFFFFF"/>
            <w:tcMar>
              <w:top w:w="60" w:type="dxa"/>
              <w:left w:w="110" w:type="dxa"/>
              <w:bottom w:w="60" w:type="dxa"/>
              <w:right w:w="110" w:type="dxa"/>
            </w:tcMar>
          </w:tcPr>
          <w:p>
            <w:pPr>
              <w:spacing w:before="0" w:after="0"/>
            </w:pPr>
            <w:r/>
            <w:r>
              <w:rPr>
                <w:rFonts w:ascii="Arial" w:hAnsi="Arial" w:eastAsia="Arial"/>
                <w:b w:val="0"/>
                <w:i w:val="0"/>
                <w:sz w:val="19"/>
              </w:rPr>
              <w:t>Backlog</w:t>
            </w:r>
          </w:p>
        </w:tc>
        <w:tc>
          <w:tcPr>
            <w:tcW w:type="dxa" w:w="5560"/>
            <w:shd w:val="clear" w:color="auto" w:fill="FFFFFF"/>
            <w:tcMar>
              <w:top w:w="60" w:type="dxa"/>
              <w:left w:w="110" w:type="dxa"/>
              <w:bottom w:w="60" w:type="dxa"/>
              <w:right w:w="110" w:type="dxa"/>
            </w:tcMar>
          </w:tcPr>
          <w:p>
            <w:pPr>
              <w:spacing w:before="0" w:after="0"/>
            </w:pPr>
            <w:r/>
            <w:r>
              <w:rPr>
                <w:rFonts w:ascii="Arial" w:hAnsi="Arial" w:eastAsia="Arial"/>
                <w:b w:val="0"/>
                <w:i w:val="0"/>
                <w:sz w:val="19"/>
              </w:rPr>
              <w:t>Everything not yet refined or scheduled, ordered top-to-bottom by priority.</w:t>
            </w:r>
          </w:p>
        </w:tc>
        <w:tc>
          <w:tcPr>
            <w:tcW w:type="dxa" w:w="1900"/>
            <w:shd w:val="clear" w:color="auto" w:fill="FFFFFF"/>
            <w:tcMar>
              <w:top w:w="60" w:type="dxa"/>
              <w:left w:w="110" w:type="dxa"/>
              <w:bottom w:w="60" w:type="dxa"/>
              <w:right w:w="110" w:type="dxa"/>
            </w:tcMar>
          </w:tcPr>
          <w:p>
            <w:pPr>
              <w:spacing w:before="0" w:after="0"/>
            </w:pPr>
            <w:r/>
            <w:r>
              <w:rPr>
                <w:rFonts w:ascii="Arial" w:hAnsi="Arial" w:eastAsia="Arial"/>
                <w:b w:val="0"/>
                <w:i w:val="0"/>
                <w:sz w:val="19"/>
              </w:rPr>
              <w:t>none</w:t>
            </w:r>
          </w:p>
        </w:tc>
      </w:tr>
      <w:tr>
        <w:tc>
          <w:tcPr>
            <w:tcW w:type="dxa" w:w="1900"/>
            <w:shd w:val="clear" w:color="auto" w:fill="EAF3F0"/>
            <w:tcMar>
              <w:top w:w="60" w:type="dxa"/>
              <w:left w:w="110" w:type="dxa"/>
              <w:bottom w:w="60" w:type="dxa"/>
              <w:right w:w="110" w:type="dxa"/>
            </w:tcMar>
          </w:tcPr>
          <w:p>
            <w:pPr>
              <w:spacing w:before="0" w:after="0"/>
            </w:pPr>
            <w:r/>
            <w:r>
              <w:rPr>
                <w:rFonts w:ascii="Arial" w:hAnsi="Arial" w:eastAsia="Arial"/>
                <w:b w:val="0"/>
                <w:i w:val="0"/>
                <w:sz w:val="19"/>
              </w:rPr>
              <w:t>Ready</w:t>
            </w:r>
          </w:p>
        </w:tc>
        <w:tc>
          <w:tcPr>
            <w:tcW w:type="dxa" w:w="5560"/>
            <w:shd w:val="clear" w:color="auto" w:fill="EAF3F0"/>
            <w:tcMar>
              <w:top w:w="60" w:type="dxa"/>
              <w:left w:w="110" w:type="dxa"/>
              <w:bottom w:w="60" w:type="dxa"/>
              <w:right w:w="110" w:type="dxa"/>
            </w:tcMar>
          </w:tcPr>
          <w:p>
            <w:pPr>
              <w:spacing w:before="0" w:after="0"/>
            </w:pPr>
            <w:r/>
            <w:r>
              <w:rPr>
                <w:rFonts w:ascii="Arial" w:hAnsi="Arial" w:eastAsia="Arial"/>
                <w:b w:val="0"/>
                <w:i w:val="0"/>
                <w:sz w:val="19"/>
              </w:rPr>
              <w:t>Refined cards with acceptance criteria, small enough to pull.</w:t>
            </w:r>
          </w:p>
        </w:tc>
        <w:tc>
          <w:tcPr>
            <w:tcW w:type="dxa" w:w="1900"/>
            <w:shd w:val="clear" w:color="auto" w:fill="EAF3F0"/>
            <w:tcMar>
              <w:top w:w="60" w:type="dxa"/>
              <w:left w:w="110" w:type="dxa"/>
              <w:bottom w:w="60" w:type="dxa"/>
              <w:right w:w="110" w:type="dxa"/>
            </w:tcMar>
          </w:tcPr>
          <w:p>
            <w:pPr>
              <w:spacing w:before="0" w:after="0"/>
            </w:pPr>
            <w:r/>
            <w:r>
              <w:rPr>
                <w:rFonts w:ascii="Arial" w:hAnsi="Arial" w:eastAsia="Arial"/>
                <w:b w:val="0"/>
                <w:i w:val="0"/>
                <w:sz w:val="19"/>
              </w:rPr>
              <w:t>5 to 8</w:t>
            </w:r>
          </w:p>
        </w:tc>
      </w:tr>
      <w:tr>
        <w:tc>
          <w:tcPr>
            <w:tcW w:type="dxa" w:w="1900"/>
            <w:shd w:val="clear" w:color="auto" w:fill="FFFFFF"/>
            <w:tcMar>
              <w:top w:w="60" w:type="dxa"/>
              <w:left w:w="110" w:type="dxa"/>
              <w:bottom w:w="60" w:type="dxa"/>
              <w:right w:w="110" w:type="dxa"/>
            </w:tcMar>
          </w:tcPr>
          <w:p>
            <w:pPr>
              <w:spacing w:before="0" w:after="0"/>
            </w:pPr>
            <w:r/>
            <w:r>
              <w:rPr>
                <w:rFonts w:ascii="Arial" w:hAnsi="Arial" w:eastAsia="Arial"/>
                <w:b w:val="0"/>
                <w:i w:val="0"/>
                <w:sz w:val="19"/>
              </w:rPr>
              <w:t>In Progress</w:t>
            </w:r>
          </w:p>
        </w:tc>
        <w:tc>
          <w:tcPr>
            <w:tcW w:type="dxa" w:w="5560"/>
            <w:shd w:val="clear" w:color="auto" w:fill="FFFFFF"/>
            <w:tcMar>
              <w:top w:w="60" w:type="dxa"/>
              <w:left w:w="110" w:type="dxa"/>
              <w:bottom w:w="60" w:type="dxa"/>
              <w:right w:w="110" w:type="dxa"/>
            </w:tcMar>
          </w:tcPr>
          <w:p>
            <w:pPr>
              <w:spacing w:before="0" w:after="0"/>
            </w:pPr>
            <w:r/>
            <w:r>
              <w:rPr>
                <w:rFonts w:ascii="Arial" w:hAnsi="Arial" w:eastAsia="Arial"/>
                <w:b w:val="0"/>
                <w:i w:val="0"/>
                <w:sz w:val="19"/>
              </w:rPr>
              <w:t>Actively being worked.</w:t>
            </w:r>
          </w:p>
        </w:tc>
        <w:tc>
          <w:tcPr>
            <w:tcW w:type="dxa" w:w="1900"/>
            <w:shd w:val="clear" w:color="auto" w:fill="FFFFFF"/>
            <w:tcMar>
              <w:top w:w="60" w:type="dxa"/>
              <w:left w:w="110" w:type="dxa"/>
              <w:bottom w:w="60" w:type="dxa"/>
              <w:right w:w="110" w:type="dxa"/>
            </w:tcMar>
          </w:tcPr>
          <w:p>
            <w:pPr>
              <w:spacing w:before="0" w:after="0"/>
            </w:pPr>
            <w:r/>
            <w:r>
              <w:rPr>
                <w:rFonts w:ascii="Arial" w:hAnsi="Arial" w:eastAsia="Arial"/>
                <w:b w:val="0"/>
                <w:i w:val="0"/>
                <w:sz w:val="19"/>
              </w:rPr>
              <w:t>1 to 2</w:t>
            </w:r>
          </w:p>
        </w:tc>
      </w:tr>
      <w:tr>
        <w:tc>
          <w:tcPr>
            <w:tcW w:type="dxa" w:w="1900"/>
            <w:shd w:val="clear" w:color="auto" w:fill="EAF3F0"/>
            <w:tcMar>
              <w:top w:w="60" w:type="dxa"/>
              <w:left w:w="110" w:type="dxa"/>
              <w:bottom w:w="60" w:type="dxa"/>
              <w:right w:w="110" w:type="dxa"/>
            </w:tcMar>
          </w:tcPr>
          <w:p>
            <w:pPr>
              <w:spacing w:before="0" w:after="0"/>
            </w:pPr>
            <w:r/>
            <w:r>
              <w:rPr>
                <w:rFonts w:ascii="Arial" w:hAnsi="Arial" w:eastAsia="Arial"/>
                <w:b w:val="0"/>
                <w:i w:val="0"/>
                <w:sz w:val="19"/>
              </w:rPr>
              <w:t>In Review / Testing</w:t>
            </w:r>
          </w:p>
        </w:tc>
        <w:tc>
          <w:tcPr>
            <w:tcW w:type="dxa" w:w="5560"/>
            <w:shd w:val="clear" w:color="auto" w:fill="EAF3F0"/>
            <w:tcMar>
              <w:top w:w="60" w:type="dxa"/>
              <w:left w:w="110" w:type="dxa"/>
              <w:bottom w:w="60" w:type="dxa"/>
              <w:right w:w="110" w:type="dxa"/>
            </w:tcMar>
          </w:tcPr>
          <w:p>
            <w:pPr>
              <w:spacing w:before="0" w:after="0"/>
            </w:pPr>
            <w:r/>
            <w:r>
              <w:rPr>
                <w:rFonts w:ascii="Arial" w:hAnsi="Arial" w:eastAsia="Arial"/>
                <w:b w:val="0"/>
                <w:i w:val="0"/>
                <w:sz w:val="19"/>
              </w:rPr>
              <w:t>Verifying against the card's acceptance criteria, against the sandbox.</w:t>
            </w:r>
          </w:p>
        </w:tc>
        <w:tc>
          <w:tcPr>
            <w:tcW w:type="dxa" w:w="1900"/>
            <w:shd w:val="clear" w:color="auto" w:fill="EAF3F0"/>
            <w:tcMar>
              <w:top w:w="60" w:type="dxa"/>
              <w:left w:w="110" w:type="dxa"/>
              <w:bottom w:w="60" w:type="dxa"/>
              <w:right w:w="110" w:type="dxa"/>
            </w:tcMar>
          </w:tcPr>
          <w:p>
            <w:pPr>
              <w:spacing w:before="0" w:after="0"/>
            </w:pPr>
            <w:r/>
            <w:r>
              <w:rPr>
                <w:rFonts w:ascii="Arial" w:hAnsi="Arial" w:eastAsia="Arial"/>
                <w:b w:val="0"/>
                <w:i w:val="0"/>
                <w:sz w:val="19"/>
              </w:rPr>
              <w:t>2</w:t>
            </w:r>
          </w:p>
        </w:tc>
      </w:tr>
      <w:tr>
        <w:tc>
          <w:tcPr>
            <w:tcW w:type="dxa" w:w="1900"/>
            <w:shd w:val="clear" w:color="auto" w:fill="FFFFFF"/>
            <w:tcMar>
              <w:top w:w="60" w:type="dxa"/>
              <w:left w:w="110" w:type="dxa"/>
              <w:bottom w:w="60" w:type="dxa"/>
              <w:right w:w="110" w:type="dxa"/>
            </w:tcMar>
          </w:tcPr>
          <w:p>
            <w:pPr>
              <w:spacing w:before="0" w:after="0"/>
            </w:pPr>
            <w:r/>
            <w:r>
              <w:rPr>
                <w:rFonts w:ascii="Arial" w:hAnsi="Arial" w:eastAsia="Arial"/>
                <w:b w:val="0"/>
                <w:i w:val="0"/>
                <w:sz w:val="19"/>
              </w:rPr>
              <w:t>Done</w:t>
            </w:r>
          </w:p>
        </w:tc>
        <w:tc>
          <w:tcPr>
            <w:tcW w:type="dxa" w:w="5560"/>
            <w:shd w:val="clear" w:color="auto" w:fill="FFFFFF"/>
            <w:tcMar>
              <w:top w:w="60" w:type="dxa"/>
              <w:left w:w="110" w:type="dxa"/>
              <w:bottom w:w="60" w:type="dxa"/>
              <w:right w:w="110" w:type="dxa"/>
            </w:tcMar>
          </w:tcPr>
          <w:p>
            <w:pPr>
              <w:spacing w:before="0" w:after="0"/>
            </w:pPr>
            <w:r/>
            <w:r>
              <w:rPr>
                <w:rFonts w:ascii="Arial" w:hAnsi="Arial" w:eastAsia="Arial"/>
                <w:b w:val="0"/>
                <w:i w:val="0"/>
                <w:sz w:val="19"/>
              </w:rPr>
              <w:t>Meets its acceptance criteria and is merged.</w:t>
            </w:r>
          </w:p>
        </w:tc>
        <w:tc>
          <w:tcPr>
            <w:tcW w:type="dxa" w:w="1900"/>
            <w:shd w:val="clear" w:color="auto" w:fill="FFFFFF"/>
            <w:tcMar>
              <w:top w:w="60" w:type="dxa"/>
              <w:left w:w="110" w:type="dxa"/>
              <w:bottom w:w="60" w:type="dxa"/>
              <w:right w:w="110" w:type="dxa"/>
            </w:tcMar>
          </w:tcPr>
          <w:p>
            <w:pPr>
              <w:spacing w:before="0" w:after="0"/>
            </w:pPr>
            <w:r/>
            <w:r>
              <w:rPr>
                <w:rFonts w:ascii="Arial" w:hAnsi="Arial" w:eastAsia="Arial"/>
                <w:b w:val="0"/>
                <w:i w:val="0"/>
                <w:sz w:val="19"/>
              </w:rPr>
              <w:t>none</w:t>
            </w:r>
          </w:p>
        </w:tc>
      </w:tr>
    </w:tbl>
    <w:p>
      <w:pPr>
        <w:spacing w:before="0" w:after="40"/>
      </w:pPr>
    </w:p>
    <w:p>
      <w:pPr>
        <w:spacing w:before="0" w:after="120"/>
      </w:pPr>
      <w:r>
        <w:rPr>
          <w:rFonts w:ascii="Arial" w:hAnsi="Arial" w:eastAsia="Arial"/>
          <w:b w:val="0"/>
          <w:i w:val="0"/>
          <w:sz w:val="20"/>
        </w:rPr>
        <w:t>Use a Blocked label rather than a Blocked list, so a blocked card stays visible in its lane with a comment saying what it is waiting on.</w:t>
      </w:r>
    </w:p>
    <w:p>
      <w:pPr>
        <w:pStyle w:val="Heading2"/>
      </w:pPr>
      <w:r>
        <w:t>9.2 Labels: two dimensions</w:t>
      </w:r>
    </w:p>
    <w:p>
      <w:pPr>
        <w:pStyle w:val="ListBullet"/>
        <w:spacing w:before="0" w:after="60"/>
      </w:pPr>
      <w:r>
        <w:rPr>
          <w:rFonts w:ascii="Arial" w:hAnsi="Arial" w:eastAsia="Arial"/>
          <w:b/>
          <w:i w:val="0"/>
          <w:sz w:val="20"/>
        </w:rPr>
        <w:t>Phase labels.</w:t>
      </w:r>
      <w:r>
        <w:rPr>
          <w:rFonts w:ascii="Arial" w:hAnsi="Arial" w:eastAsia="Arial"/>
          <w:b w:val="0"/>
          <w:i w:val="0"/>
          <w:sz w:val="20"/>
        </w:rPr>
        <w:t xml:space="preserve"> Phase 0 Sandbox, Phase 1 Orchestration, Phase 2 Storefront, Phase 3 Payments, Phase 4 Post-Booking, Phase 5 Go-Live. Filter the board by phase to see one slice at a time.</w:t>
      </w:r>
    </w:p>
    <w:p>
      <w:pPr>
        <w:pStyle w:val="ListBullet"/>
        <w:spacing w:before="0" w:after="60"/>
      </w:pPr>
      <w:r>
        <w:rPr>
          <w:rFonts w:ascii="Arial" w:hAnsi="Arial" w:eastAsia="Arial"/>
          <w:b/>
          <w:i w:val="0"/>
          <w:sz w:val="20"/>
        </w:rPr>
        <w:t>Area labels.</w:t>
      </w:r>
      <w:r>
        <w:rPr>
          <w:rFonts w:ascii="Arial" w:hAnsi="Arial" w:eastAsia="Arial"/>
          <w:b w:val="0"/>
          <w:i w:val="0"/>
          <w:sz w:val="20"/>
        </w:rPr>
        <w:t xml:space="preserve"> Apaleo config, Orchestration, Storefront, Payments, Infra. Filter by area to batch similar work in one sitting.</w:t>
      </w:r>
    </w:p>
    <w:p>
      <w:pPr>
        <w:pStyle w:val="ListBullet"/>
        <w:spacing w:before="0" w:after="60"/>
      </w:pPr>
      <w:r>
        <w:rPr>
          <w:rFonts w:ascii="Arial" w:hAnsi="Arial" w:eastAsia="Arial"/>
          <w:b/>
          <w:i w:val="0"/>
          <w:sz w:val="20"/>
        </w:rPr>
        <w:t>A Blocked label.</w:t>
      </w:r>
      <w:r>
        <w:rPr>
          <w:rFonts w:ascii="Arial" w:hAnsi="Arial" w:eastAsia="Arial"/>
          <w:b w:val="0"/>
          <w:i w:val="0"/>
          <w:sz w:val="20"/>
        </w:rPr>
        <w:t xml:space="preserve"> For anything waiting on a decision or an external dependency.</w:t>
      </w:r>
    </w:p>
    <w:p>
      <w:pPr>
        <w:pStyle w:val="Heading2"/>
      </w:pPr>
      <w:r>
        <w:t>9.3 Cards</w:t>
      </w:r>
    </w:p>
    <w:p>
      <w:pPr>
        <w:pStyle w:val="ListBullet"/>
        <w:spacing w:before="0" w:after="60"/>
      </w:pPr>
      <w:r>
        <w:rPr>
          <w:rFonts w:ascii="Arial" w:hAnsi="Arial" w:eastAsia="Arial"/>
          <w:b w:val="0"/>
          <w:i w:val="0"/>
          <w:sz w:val="20"/>
        </w:rPr>
        <w:t>One card per task. The task lists in this plan are written to read as card titles, so copy them straight in.</w:t>
      </w:r>
    </w:p>
    <w:p>
      <w:pPr>
        <w:pStyle w:val="ListBullet"/>
        <w:spacing w:before="0" w:after="60"/>
      </w:pPr>
      <w:r>
        <w:rPr>
          <w:rFonts w:ascii="Arial" w:hAnsi="Arial" w:eastAsia="Arial"/>
          <w:b w:val="0"/>
          <w:i w:val="0"/>
          <w:sz w:val="20"/>
        </w:rPr>
        <w:t>Card description holds the goal and the acceptance criteria; a checklist holds the sub-steps.</w:t>
      </w:r>
    </w:p>
    <w:p>
      <w:pPr>
        <w:pStyle w:val="ListBullet"/>
        <w:spacing w:before="0" w:after="60"/>
      </w:pPr>
      <w:r>
        <w:rPr>
          <w:rFonts w:ascii="Arial" w:hAnsi="Arial" w:eastAsia="Arial"/>
          <w:b w:val="0"/>
          <w:i w:val="0"/>
          <w:sz w:val="20"/>
        </w:rPr>
        <w:t>Keep a card to roughly a day or two of work. If it is bigger than that, split it.</w:t>
      </w:r>
    </w:p>
    <w:p>
      <w:pPr>
        <w:pStyle w:val="Heading2"/>
      </w:pPr>
      <w:r>
        <w:t>9.4 Milestones</w:t>
      </w:r>
    </w:p>
    <w:p>
      <w:pPr>
        <w:pStyle w:val="ListBullet"/>
        <w:spacing w:before="0" w:after="60"/>
      </w:pPr>
      <w:r>
        <w:rPr>
          <w:rFonts w:ascii="Arial" w:hAnsi="Arial" w:eastAsia="Arial"/>
          <w:b w:val="0"/>
          <w:i w:val="0"/>
          <w:sz w:val="20"/>
        </w:rPr>
        <w:t>Add one card per phase, labelled with that phase, holding the phase's "Done when" line as a checklist and a due date. That is your phase-level progress at a glance.</w:t>
      </w:r>
    </w:p>
    <w:p>
      <w:pPr>
        <w:pStyle w:val="ListBullet"/>
        <w:spacing w:before="0" w:after="60"/>
      </w:pPr>
      <w:r>
        <w:rPr>
          <w:rFonts w:ascii="Arial" w:hAnsi="Arial" w:eastAsia="Arial"/>
          <w:b w:val="0"/>
          <w:i w:val="0"/>
          <w:sz w:val="20"/>
        </w:rPr>
        <w:t>Optionally keep an Epics list at the far left holding those six milestone cards, separate from the flowing task cards.</w:t>
      </w:r>
    </w:p>
    <w:p>
      <w:pPr>
        <w:pStyle w:val="Heading2"/>
      </w:pPr>
      <w:r>
        <w:t>9.5 Definition of Ready and Done</w:t>
      </w:r>
    </w:p>
    <w:p>
      <w:pPr>
        <w:pStyle w:val="ListBullet"/>
        <w:spacing w:before="0" w:after="60"/>
      </w:pPr>
      <w:r>
        <w:rPr>
          <w:rFonts w:ascii="Arial" w:hAnsi="Arial" w:eastAsia="Arial"/>
          <w:b/>
          <w:i w:val="0"/>
          <w:sz w:val="20"/>
        </w:rPr>
        <w:t>Ready.</w:t>
      </w:r>
      <w:r>
        <w:rPr>
          <w:rFonts w:ascii="Arial" w:hAnsi="Arial" w:eastAsia="Arial"/>
          <w:b w:val="0"/>
          <w:i w:val="0"/>
          <w:sz w:val="20"/>
        </w:rPr>
        <w:t xml:space="preserve"> Has acceptance criteria, has its dependencies noted, and is small enough to finish in a day or two.</w:t>
      </w:r>
    </w:p>
    <w:p>
      <w:pPr>
        <w:pStyle w:val="ListBullet"/>
        <w:spacing w:before="0" w:after="60"/>
      </w:pPr>
      <w:r>
        <w:rPr>
          <w:rFonts w:ascii="Arial" w:hAnsi="Arial" w:eastAsia="Arial"/>
          <w:b/>
          <w:i w:val="0"/>
          <w:sz w:val="20"/>
        </w:rPr>
        <w:t>Done.</w:t>
      </w:r>
      <w:r>
        <w:rPr>
          <w:rFonts w:ascii="Arial" w:hAnsi="Arial" w:eastAsia="Arial"/>
          <w:b w:val="0"/>
          <w:i w:val="0"/>
          <w:sz w:val="20"/>
        </w:rPr>
        <w:t xml:space="preserve"> Meets its acceptance criteria, is verified against the sandbox, is committed and merged, and any affected doc is updated.</w:t>
      </w:r>
    </w:p>
    <w:p>
      <w:pPr>
        <w:pStyle w:val="Heading2"/>
      </w:pPr>
      <w:r>
        <w:t>9.6 Power-Ups worth turning on</w:t>
      </w:r>
    </w:p>
    <w:p>
      <w:pPr>
        <w:pStyle w:val="ListBullet"/>
        <w:spacing w:before="0" w:after="60"/>
      </w:pPr>
      <w:r>
        <w:rPr>
          <w:rFonts w:ascii="Arial" w:hAnsi="Arial" w:eastAsia="Arial"/>
          <w:b/>
          <w:i w:val="0"/>
          <w:sz w:val="20"/>
        </w:rPr>
        <w:t>Calendar.</w:t>
      </w:r>
      <w:r>
        <w:rPr>
          <w:rFonts w:ascii="Arial" w:hAnsi="Arial" w:eastAsia="Arial"/>
          <w:b w:val="0"/>
          <w:i w:val="0"/>
          <w:sz w:val="20"/>
        </w:rPr>
        <w:t xml:space="preserve"> See due dates and milestones on a timeline.</w:t>
      </w:r>
    </w:p>
    <w:p>
      <w:pPr>
        <w:pStyle w:val="ListBullet"/>
        <w:spacing w:before="0" w:after="60"/>
      </w:pPr>
      <w:r>
        <w:rPr>
          <w:rFonts w:ascii="Arial" w:hAnsi="Arial" w:eastAsia="Arial"/>
          <w:b/>
          <w:i w:val="0"/>
          <w:sz w:val="20"/>
        </w:rPr>
        <w:t>GitHub.</w:t>
      </w:r>
      <w:r>
        <w:rPr>
          <w:rFonts w:ascii="Arial" w:hAnsi="Arial" w:eastAsia="Arial"/>
          <w:b w:val="0"/>
          <w:i w:val="0"/>
          <w:sz w:val="20"/>
        </w:rPr>
        <w:t xml:space="preserve"> Link cards to commits and pull requests, which suits your GitHub Actions workflow.</w:t>
      </w:r>
    </w:p>
    <w:p>
      <w:pPr>
        <w:pStyle w:val="ListBullet"/>
        <w:spacing w:before="0" w:after="60"/>
      </w:pPr>
      <w:r>
        <w:rPr>
          <w:rFonts w:ascii="Arial" w:hAnsi="Arial" w:eastAsia="Arial"/>
          <w:b/>
          <w:i w:val="0"/>
          <w:sz w:val="20"/>
        </w:rPr>
        <w:t>Butler automation.</w:t>
      </w:r>
      <w:r>
        <w:rPr>
          <w:rFonts w:ascii="Arial" w:hAnsi="Arial" w:eastAsia="Arial"/>
          <w:b w:val="0"/>
          <w:i w:val="0"/>
          <w:sz w:val="20"/>
        </w:rPr>
        <w:t xml:space="preserve"> Auto-move cards, auto-apply labels, and post a reminder when In Progress goes over its limit.</w:t>
      </w:r>
    </w:p>
    <w:p>
      <w:pPr>
        <w:pStyle w:val="ListBullet"/>
        <w:spacing w:before="0" w:after="60"/>
      </w:pPr>
      <w:r>
        <w:rPr>
          <w:rFonts w:ascii="Arial" w:hAnsi="Arial" w:eastAsia="Arial"/>
          <w:b/>
          <w:i w:val="0"/>
          <w:sz w:val="20"/>
        </w:rPr>
        <w:t>Custom Fields (optional).</w:t>
      </w:r>
      <w:r>
        <w:rPr>
          <w:rFonts w:ascii="Arial" w:hAnsi="Arial" w:eastAsia="Arial"/>
          <w:b w:val="0"/>
          <w:i w:val="0"/>
          <w:sz w:val="20"/>
        </w:rPr>
        <w:t xml:space="preserve"> An Estimate or a Phase field, if you prefer fields to labels.</w:t>
      </w:r>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40" w:type="dxa"/>
              <w:left w:w="180" w:type="dxa"/>
              <w:bottom w:w="140" w:type="dxa"/>
              <w:right w:w="180" w:type="dxa"/>
            </w:tcMar>
          </w:tcPr>
          <w:p>
            <w:pPr>
              <w:spacing w:before="0" w:after="0"/>
            </w:pPr>
            <w:r/>
            <w:r>
              <w:rPr>
                <w:rFonts w:ascii="Arial" w:hAnsi="Arial" w:eastAsia="Arial"/>
                <w:b/>
                <w:i w:val="0"/>
                <w:color w:val="5C4A1A"/>
                <w:sz w:val="20"/>
              </w:rPr>
              <w:t>The one habit that makes Scrumban work:</w:t>
            </w:r>
            <w:r>
              <w:rPr>
                <w:rFonts w:ascii="Arial" w:hAnsi="Arial" w:eastAsia="Arial"/>
                <w:b w:val="0"/>
                <w:i w:val="0"/>
                <w:color w:val="5C4A1A"/>
                <w:sz w:val="20"/>
              </w:rPr>
              <w:t xml:space="preserve">  keep the In Progress limit at one or two, and finish what is started before pulling the next card from the top of Ready. That single discipline is worth more than any Power-Up.</w:t>
            </w:r>
          </w:p>
        </w:tc>
      </w:tr>
    </w:tbl>
    <w:p>
      <w:pPr>
        <w:spacing w:before="0" w:after="0"/>
      </w:pPr>
    </w:p>
    <w:p>
      <w:pPr>
        <w:pStyle w:val="Heading1"/>
      </w:pPr>
      <w:r>
        <w:t>10. Your First Two Weeks</w:t>
      </w:r>
    </w:p>
    <w:p>
      <w:pPr>
        <w:spacing w:before="0" w:after="120"/>
      </w:pPr>
      <w:r>
        <w:rPr>
          <w:rFonts w:ascii="Arial" w:hAnsi="Arial" w:eastAsia="Arial"/>
          <w:b w:val="0"/>
          <w:i w:val="0"/>
          <w:sz w:val="20"/>
        </w:rPr>
        <w:t>A concrete starting pull, so the board is not just theory. In order:</w:t>
      </w:r>
    </w:p>
    <w:p>
      <w:pPr>
        <w:pStyle w:val="ListBullet"/>
        <w:spacing w:before="0" w:after="60"/>
      </w:pPr>
      <w:r>
        <w:rPr>
          <w:rFonts w:ascii="Arial" w:hAnsi="Arial" w:eastAsia="Arial"/>
          <w:b w:val="0"/>
          <w:i w:val="0"/>
          <w:sz w:val="20"/>
        </w:rPr>
        <w:t>Decide the break menu and the initial lodge types and rate plans (Section 8, top three rows). One sitting.</w:t>
      </w:r>
    </w:p>
    <w:p>
      <w:pPr>
        <w:pStyle w:val="ListBullet"/>
        <w:spacing w:before="0" w:after="60"/>
      </w:pPr>
      <w:r>
        <w:rPr>
          <w:rFonts w:ascii="Arial" w:hAnsi="Arial" w:eastAsia="Arial"/>
          <w:b w:val="0"/>
          <w:i w:val="0"/>
          <w:sz w:val="20"/>
        </w:rPr>
        <w:t>Create the Apaleo sandbox and get credentials.</w:t>
      </w:r>
    </w:p>
    <w:p>
      <w:pPr>
        <w:pStyle w:val="ListBullet"/>
        <w:spacing w:before="0" w:after="60"/>
      </w:pPr>
      <w:r>
        <w:rPr>
          <w:rFonts w:ascii="Arial" w:hAnsi="Arial" w:eastAsia="Arial"/>
          <w:b w:val="0"/>
          <w:i w:val="0"/>
          <w:sz w:val="20"/>
        </w:rPr>
        <w:t>Write and run the provisioning script: property, unit groups, units, rate plan, services.</w:t>
      </w:r>
    </w:p>
    <w:p>
      <w:pPr>
        <w:pStyle w:val="ListBullet"/>
        <w:spacing w:before="0" w:after="60"/>
      </w:pPr>
      <w:r>
        <w:rPr>
          <w:rFonts w:ascii="Arial" w:hAnsi="Arial" w:eastAsia="Arial"/>
          <w:b w:val="0"/>
          <w:i w:val="0"/>
          <w:sz w:val="20"/>
        </w:rPr>
        <w:t>Write and run the restriction-calendar script, and prove offers return only Friday and Monday arrivals and departures.</w:t>
      </w:r>
    </w:p>
    <w:p>
      <w:pPr>
        <w:pStyle w:val="ListBullet"/>
        <w:spacing w:before="0" w:after="60"/>
      </w:pPr>
      <w:r>
        <w:rPr>
          <w:rFonts w:ascii="Arial" w:hAnsi="Arial" w:eastAsia="Arial"/>
          <w:b w:val="0"/>
          <w:i w:val="0"/>
          <w:sz w:val="20"/>
        </w:rPr>
        <w:t>Prove a multi-lodge booking, a manual payment on the folio, and an amend and a cancel.</w:t>
      </w:r>
    </w:p>
    <w:p>
      <w:pPr>
        <w:pStyle w:val="ListBullet"/>
        <w:spacing w:before="0" w:after="60"/>
      </w:pPr>
      <w:r>
        <w:rPr>
          <w:rFonts w:ascii="Arial" w:hAnsi="Arial" w:eastAsia="Arial"/>
          <w:b w:val="0"/>
          <w:i w:val="0"/>
          <w:sz w:val="20"/>
        </w:rPr>
        <w:t>Scaffold the two repositories and wire in the sandbox credentials.</w:t>
      </w:r>
    </w:p>
    <w:p>
      <w:pPr>
        <w:spacing w:before="0" w:after="120"/>
      </w:pPr>
      <w:r>
        <w:rPr>
          <w:rFonts w:ascii="Arial" w:hAnsi="Arial" w:eastAsia="Arial"/>
          <w:b w:val="0"/>
          <w:i w:val="0"/>
          <w:sz w:val="20"/>
        </w:rPr>
        <w:t>That is Phase 0. Finishing it is the point where the risk drops, because everything after it is building on a model you have already seen work end to end.</w:t>
      </w:r>
    </w:p>
    <w:p/>
    <w:tbl>
      <w:tblPr>
        <w:tblW w:type="dxa" w:w="9360"/>
        <w:tblLayout w:type="fixed"/>
        <w:tblLook w:firstColumn="1" w:firstRow="1" w:lastColumn="0" w:lastRow="0" w:noHBand="0" w:noVBand="1" w:val="04A0"/>
        <w:tblLayout w:type="fixed"/>
      </w:tblPr>
      <w:tblGrid>
        <w:gridCol w:w="9360"/>
      </w:tblGrid>
      <w:tr>
        <w:tc>
          <w:tcPr>
            <w:tcW w:type="dxa" w:w="9360"/>
            <w:tcBorders>
              <w:top w:val="single" w:sz="4" w:space="0" w:color="2F6F5E"/>
              <w:left w:val="nil"/>
              <w:bottom w:val="nil"/>
              <w:right w:val="nil"/>
            </w:tcBorders>
            <w:tcMar>
              <w:top w:w="120" w:type="dxa"/>
              <w:left w:w="100" w:type="dxa"/>
              <w:bottom w:w="40" w:type="dxa"/>
              <w:right w:w="100" w:type="dxa"/>
            </w:tcMar>
          </w:tcPr>
          <w:p>
            <w:pPr>
              <w:spacing w:before="0" w:after="0"/>
              <w:jc w:val="center"/>
            </w:pPr>
            <w:r/>
            <w:r>
              <w:rPr>
                <w:rFonts w:ascii="Arial" w:hAnsi="Arial" w:eastAsia="Arial"/>
                <w:b w:val="0"/>
                <w:i/>
                <w:color w:val="888888"/>
                <w:sz w:val="17"/>
              </w:rPr>
              <w:t>Unity Parks Ltd   |   Confidential &amp; Proprietary   |   Booking Engine Implementation Plan   |   Version 1.0   |   July 2026   |   Companion to the Booking Engine Specification v1.2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eastAsia="Arial"/>
      <w:b/>
      <w:bCs/>
      <w:color w:val="1432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rial" w:hAnsi="Arial" w:eastAsia="Arial"/>
      <w:b/>
      <w:bCs/>
      <w:color w:val="2F6F5E"/>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rial" w:hAnsi="Arial" w:eastAsia="Arial"/>
      <w:b/>
      <w:bCs/>
      <w:color w:val="C895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