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F2B3E"/>
          <w:sz w:val="36"/>
          <w:szCs w:val="36"/>
        </w:rPr>
        <w:t xml:space="preserve">Búsqueda de arquitecturas de memoria bioinspirada</w:t>
      </w:r>
    </w:p>
    <w:p>
      <w:pPr>
        <w:spacing w:after="60"/>
      </w:pPr>
      <w:r>
        <w:rPr>
          <w:rFonts w:ascii="Georgia" w:cs="Georgia" w:eastAsia="Georgia" w:hAnsi="Georgia"/>
          <w:i/>
          <w:iCs/>
          <w:color w:val="C76B2C"/>
          <w:sz w:val="23"/>
          <w:szCs w:val="23"/>
        </w:rPr>
        <w:t xml:space="preserve">Propuesta de artículo para BIP 2026 — 8th IEEE International Conference on BioInspired Processing</w:t>
      </w:r>
    </w:p>
    <w:p>
      <w:pPr>
        <w:spacing w:after="280"/>
      </w:pPr>
      <w:r>
        <w:rPr>
          <w:color w:val="5B6470"/>
          <w:sz w:val="19"/>
          <w:szCs w:val="19"/>
        </w:rPr>
        <w:t xml:space="preserve">Allan Bolaños Barrientos · Esteban Arias Méndez · Instituto Tecnológico de Costa Rica</w:t>
      </w:r>
    </w:p>
    <w:p>
      <w:pPr>
        <w:pBdr>
          <w:bottom w:val="single" w:color="D8D2C7" w:sz="6" w:space="1"/>
        </w:pBdr>
        <w:spacing w:after="2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2C7" w:sz="2"/>
              <w:left w:val="single" w:color="A03328" w:sz="24"/>
              <w:bottom w:val="single" w:color="D8D2C7" w:sz="2"/>
              <w:right w:val="single" w:color="D8D2C7" w:sz="2"/>
            </w:tcBorders>
            <w:shd w:fill="F2EFEA" w:val="clear"/>
            <w:tcMar>
              <w:top w:type="dxa" w:w="160"/>
              <w:left w:type="dxa" w:w="220"/>
              <w:bottom w:type="dxa" w:w="160"/>
              <w:right w:type="dxa" w:w="220"/>
            </w:tcMar>
          </w:tcPr>
          <w:p>
            <w:pPr>
              <w:spacing w:after="80"/>
            </w:pPr>
            <w:r>
              <w:rPr>
                <w:rFonts w:ascii="Georgia" w:cs="Georgia" w:eastAsia="Georgia" w:hAnsi="Georgia"/>
                <w:b/>
                <w:bCs/>
                <w:color w:val="A03328"/>
                <w:sz w:val="22"/>
                <w:szCs w:val="22"/>
              </w:rPr>
              <w:t xml:space="preserve">Acción urgente antes de leer el resto</w:t>
            </w:r>
          </w:p>
          <w:p>
            <w:pPr>
              <w:spacing w:line="290"/>
            </w:pPr>
            <w:r>
              <w:rPr>
                <w:sz w:val="21"/>
                <w:szCs w:val="21"/>
              </w:rPr>
              <w:t xml:space="preserve">La fecha límite de envío de BIP 2026 no está publicada en el sitio web (la sección de "Important dates" aparece vacía) y no fue posible recuperarla. La conferencia es del 11 al 13 de noviembre de 2026, por lo que el plazo habitual caería entre julio y agosto — es decir, ahora. Escribir a info@bipconference.org para confirmarlo es la primera tarea, antes de comprometerse con el cronograma de la sección 8.</w:t>
            </w:r>
          </w:p>
        </w:tc>
      </w:tr>
    </w:tbl>
    <w:p>
      <w:pPr>
        <w:spacing w:after="1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2C7" w:sz="2"/>
              <w:left w:val="single" w:color="C76B2C" w:sz="24"/>
              <w:bottom w:val="single" w:color="D8D2C7" w:sz="2"/>
              <w:right w:val="single" w:color="D8D2C7" w:sz="2"/>
            </w:tcBorders>
            <w:shd w:fill="F2EFEA" w:val="clear"/>
            <w:tcMar>
              <w:top w:type="dxa" w:w="160"/>
              <w:left w:type="dxa" w:w="220"/>
              <w:bottom w:type="dxa" w:w="160"/>
              <w:right w:type="dxa" w:w="220"/>
            </w:tcMar>
          </w:tcPr>
          <w:p>
            <w:pPr>
              <w:spacing w:after="80"/>
            </w:pPr>
            <w:r>
              <w:rPr>
                <w:rFonts w:ascii="Georgia" w:cs="Georgia" w:eastAsia="Georgia" w:hAnsi="Georgia"/>
                <w:b/>
                <w:bCs/>
                <w:color w:val="1F2B3E"/>
                <w:sz w:val="22"/>
                <w:szCs w:val="22"/>
              </w:rPr>
              <w:t xml:space="preserve">Resumen ejecutivo</w:t>
            </w:r>
          </w:p>
          <w:p>
            <w:pPr>
              <w:spacing w:line="290"/>
            </w:pPr>
            <w:r>
              <w:rPr>
                <w:sz w:val="21"/>
                <w:szCs w:val="21"/>
              </w:rPr>
              <w:t xml:space="preserve">Se propone un artículo que aplica búsqueda de arquitecturas (NAS) sobre un espacio de diseño de memorias a largo plazo bioinspiradas, construido a partir de Sparse Distributed Memory, engramas y plasticidad Hebbiana. La pregunta central no es "¿funciona nuestra memoria?" sino "¿qué mecanismos bioinspirados de memoria realmente importan, y cuáles solo suenan bien?". Un piloto ya ejecutado sobre 576 arquitecturas muestra que el buffer FIFO usado hoy por la arquitectura cognitiva e-MDB queda en el puesto 415 de 576 dentro de su propio espacio de diseño, y que un único mecanismo — la consolidación por fusión — explica el 63.5% de la varianza de desempeño.</w:t>
            </w:r>
          </w:p>
        </w:tc>
      </w:tr>
    </w:tbl>
    <w:p>
      <w:pPr>
        <w:spacing w:after="180"/>
      </w:pPr>
    </w:p>
    <w:p>
      <w:pPr>
        <w:pStyle w:val="Heading1"/>
      </w:pPr>
      <w:r>
        <w:t xml:space="preserve">1. La conferencia y por qué encaja</w:t>
      </w:r>
    </w:p>
    <w:p>
      <w:pPr>
        <w:spacing w:after="160" w:line="300"/>
      </w:pPr>
      <w:r>
        <w:t xml:space="preserve">BIP 2026 es la octava edición de la IEEE International Conference on BioInspired Processing, organizada este año por la Universidad de Costa Rica (Recinto de Guápiles, Pococí, Limón) del 11 al 13 de noviembre de 2026, con el apoyo de IEEE Costa Rica y rotación entre las universidades públicas del país, el TEC entre ellas. Los artículos aceptados se envían para inclusión en IEEE Xplore (conferencia IEEE #71710).</w:t>
      </w:r>
    </w:p>
    <w:p>
      <w:pPr>
        <w:spacing w:after="160" w:line="300"/>
      </w:pPr>
      <w:r>
        <w:t xml:space="preserve">El encaje temático es directo y no forzado: el trabajo cae en el track de ciencias de la computación bioinspiradas, específicamente en inteligencia artificial bioinspirada y aprendizaje automático bioinspirado, con una conexión secundaria al track de robótica bioinspirada por el destino final del componente. La conferencia es explícitamente sobre métodos computacionales inspirados en lo biológico, que es exactamente lo que son los engramas, la memoria distribuida dispersa y la plasticidad Hebbiana.</w:t>
      </w:r>
    </w:p>
    <w:p>
      <w:pPr>
        <w:pStyle w:val="Heading2"/>
      </w:pPr>
      <w:r>
        <w:t xml:space="preserve">Restricciones de formato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c>
          <w:tcPr>
            <w:tcW w:type="dxa" w:w="230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Aspecto</w:t>
            </w:r>
          </w:p>
        </w:tc>
        <w:tc>
          <w:tcPr>
            <w:tcW w:type="dxa" w:w="742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Requisito</w:t>
            </w:r>
          </w:p>
        </w:tc>
      </w:tr>
      <w:tr>
        <w:tc>
          <w:tcPr>
            <w:tcW w:type="dxa" w:w="23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Extensión</w:t>
            </w:r>
          </w:p>
        </w:tc>
        <w:tc>
          <w:tcPr>
            <w:tcW w:type="dxa" w:w="7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6 a 8 páginas (páginas extra: USD $50 c/u, a discreción del comité)</w:t>
            </w:r>
          </w:p>
        </w:tc>
      </w:tr>
      <w:tr>
        <w:tc>
          <w:tcPr>
            <w:tcW w:type="dxa" w:w="23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Plantilla</w:t>
            </w:r>
          </w:p>
        </w:tc>
        <w:tc>
          <w:tcPr>
            <w:tcW w:type="dxa" w:w="7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Plantilla IEEE estándar para conferencias</w:t>
            </w:r>
          </w:p>
        </w:tc>
      </w:tr>
      <w:tr>
        <w:tc>
          <w:tcPr>
            <w:tcW w:type="dxa" w:w="23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Revisión</w:t>
            </w:r>
          </w:p>
        </w:tc>
        <w:tc>
          <w:tcPr>
            <w:tcW w:type="dxa" w:w="7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Doble ciego — la versión enviada debe ir anonimizada</w:t>
            </w:r>
          </w:p>
        </w:tc>
      </w:tr>
      <w:tr>
        <w:tc>
          <w:tcPr>
            <w:tcW w:type="dxa" w:w="23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Originalidad</w:t>
            </w:r>
          </w:p>
        </w:tc>
        <w:tc>
          <w:tcPr>
            <w:tcW w:type="dxa" w:w="7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No publicado ni bajo revisión en otro lugar</w:t>
            </w:r>
          </w:p>
        </w:tc>
      </w:tr>
      <w:tr>
        <w:tc>
          <w:tcPr>
            <w:tcW w:type="dxa" w:w="23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Sistema</w:t>
            </w:r>
          </w:p>
        </w:tc>
        <w:tc>
          <w:tcPr>
            <w:tcW w:type="dxa" w:w="7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Microsoft CMT (cmt3.research.microsoft.com)</w:t>
            </w:r>
          </w:p>
        </w:tc>
      </w:tr>
      <w:tr>
        <w:tc>
          <w:tcPr>
            <w:tcW w:type="dxa" w:w="23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Presentación</w:t>
            </w:r>
          </w:p>
        </w:tc>
        <w:tc>
          <w:tcPr>
            <w:tcW w:type="dxa" w:w="7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Al menos un autor debe registrarse y presentar</w:t>
            </w:r>
          </w:p>
        </w:tc>
      </w:tr>
    </w:tbl>
    <w:p>
      <w:pPr>
        <w:spacing w:after="180"/>
      </w:pPr>
    </w:p>
    <w:p>
      <w:pPr>
        <w:spacing w:after="160" w:line="300"/>
      </w:pPr>
      <w:r>
        <w:rPr>
          <w:b/>
          <w:bCs/>
        </w:rPr>
        <w:t xml:space="preserve">Implicación práctica del doble ciego: </w:t>
      </w:r>
      <w:r>
        <w:t xml:space="preserve">el artículo no puede decir "nuestro grupo en el TEC" ni citar el proyecto interno por nombre de forma identificable. Las referencias a trabajo propio previo deben ir en tercera persona.</w:t>
      </w:r>
    </w:p>
    <w:p>
      <w:pPr>
        <w:pStyle w:val="Heading1"/>
      </w:pPr>
      <w:r>
        <w:t xml:space="preserve">2. La idea</w:t>
      </w:r>
    </w:p>
    <w:p>
      <w:pPr>
        <w:spacing w:after="160" w:line="300"/>
      </w:pPr>
      <w:r>
        <w:t xml:space="preserve">El campo de la memoria artificial bioinspirada tiene un problema de método: existe un catálogo amplio de mecanismos propuestos — direccionamiento disperso, plasticidad Hebbiana, consolidación, decaimiento, modulación por novedad, modulación por error de predicción — pero casi siempre se evalúan de forma aislada, dentro de arquitecturas diseñadas a mano, y comparados contra líneas base que no comparten espacio de diseño. Eso hace difícil saber si una ganancia reportada viene del mecanismo bioinspirado que el artículo promociona o de alguna decisión colateral de implementación.</w:t>
      </w:r>
    </w:p>
    <w:p>
      <w:pPr>
        <w:spacing w:after="160" w:line="300"/>
      </w:pPr>
      <w:r>
        <w:t xml:space="preserve">La propuesta es invertir el enfoque. En lugar de proponer una arquitectura de memoria más y defenderla, se define un espacio de diseño donde cada mecanismo bioinspirado es un eje discreto, y se busca sistemáticamente sobre él. La contribución no es una arquitectura: es un mapa de qué mecanismos importan y cuáles no, medido bajo condiciones controladas.</w:t>
      </w:r>
    </w:p>
    <w:p>
      <w:pPr>
        <w:pStyle w:val="Heading2"/>
      </w:pPr>
      <w:r>
        <w:t xml:space="preserve">La maniobra clave</w:t>
      </w:r>
    </w:p>
    <w:p>
      <w:pPr>
        <w:spacing w:after="160" w:line="300"/>
      </w:pPr>
      <w:r>
        <w:t xml:space="preserve">El buffer FIFO de tamaño fijo que usa hoy la arquitectura cognitiva e-MDB para su memoria episódica no se trata como una línea base externa, sino como un punto dentro del espacio de búsqueda: la combinación de lectura por vecino más cercano, escritura por anexado, fuerza constante, sin decaimiento, desalojo por edad y sin refuerzo. Eso convierte una comparación potencialmente sesgada ("nuestro método le gana a un buffer simple") en una pregunta limpia y falsable: dado el espacio de diseño completo, ¿dónde cae el diseño incumbente, y qué lo separa de la frontera?</w:t>
      </w:r>
    </w:p>
    <w:p>
      <w:pPr>
        <w:pStyle w:val="Heading1"/>
      </w:pPr>
      <w:r>
        <w:t xml:space="preserve">3. Espacio de búsqueda</w:t>
      </w:r>
    </w:p>
    <w:p>
      <w:pPr>
        <w:spacing w:after="160" w:line="300"/>
      </w:pPr>
      <w:r>
        <w:t xml:space="preserve">Cada arquitectura de memoria se codifica como un genotipo discreto de seis componentes, cada uno con raíz biológica identificable: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420"/>
      </w:tblGrid>
      <w:tr>
        <w:tc>
          <w:tcPr>
            <w:tcW w:type="dxa" w:w="190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Componente</w:t>
            </w:r>
          </w:p>
        </w:tc>
        <w:tc>
          <w:tcPr>
            <w:tcW w:type="dxa" w:w="340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Opciones</w:t>
            </w:r>
          </w:p>
        </w:tc>
        <w:tc>
          <w:tcPr>
            <w:tcW w:type="dxa" w:w="442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Inspiración biológica</w:t>
            </w:r>
          </w:p>
        </w:tc>
      </w:tr>
      <w:tr>
        <w:tc>
          <w:tcPr>
            <w:tcW w:type="dxa" w:w="19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Modo de lectura</w:t>
            </w:r>
          </w:p>
        </w:tc>
        <w:tc>
          <w:tcPr>
            <w:tcW w:type="dxa" w:w="34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vecino más cercano / top-k / radio de similitud</w:t>
            </w:r>
          </w:p>
        </w:tc>
        <w:tc>
          <w:tcPr>
            <w:tcW w:type="dxa" w:w="4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Círculo de acceso de Kanerva; recuperación distribuida vs. episódica</w:t>
            </w:r>
          </w:p>
        </w:tc>
      </w:tr>
      <w:tr>
        <w:tc>
          <w:tcPr>
            <w:tcW w:type="dxa" w:w="19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Política de escritura</w:t>
            </w:r>
          </w:p>
        </w:tc>
        <w:tc>
          <w:tcPr>
            <w:tcW w:type="dxa" w:w="34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anexar / fusionar si es similar</w:t>
            </w:r>
          </w:p>
        </w:tc>
        <w:tc>
          <w:tcPr>
            <w:tcW w:type="dxa" w:w="4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Consolidación de memoria; fusión de trazas semejantes</w:t>
            </w:r>
          </w:p>
        </w:tc>
      </w:tr>
      <w:tr>
        <w:tc>
          <w:tcPr>
            <w:tcW w:type="dxa" w:w="19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Fuerza inicial</w:t>
            </w:r>
          </w:p>
        </w:tc>
        <w:tc>
          <w:tcPr>
            <w:tcW w:type="dxa" w:w="34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constante / novedad / error de predicción / ambas</w:t>
            </w:r>
          </w:p>
        </w:tc>
        <w:tc>
          <w:tcPr>
            <w:tcW w:type="dxa" w:w="4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Modulación de la codificación por saliencia y sorpresa</w:t>
            </w:r>
          </w:p>
        </w:tc>
      </w:tr>
      <w:tr>
        <w:tc>
          <w:tcPr>
            <w:tcW w:type="dxa" w:w="19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Decaimiento</w:t>
            </w:r>
          </w:p>
        </w:tc>
        <w:tc>
          <w:tcPr>
            <w:tcW w:type="dxa" w:w="34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1.0 / 0.995 / 0.98</w:t>
            </w:r>
          </w:p>
        </w:tc>
        <w:tc>
          <w:tcPr>
            <w:tcW w:type="dxa" w:w="4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Debilitamiento de trazas no reforzadas</w:t>
            </w:r>
          </w:p>
        </w:tc>
      </w:tr>
      <w:tr>
        <w:tc>
          <w:tcPr>
            <w:tcW w:type="dxa" w:w="19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Política de desalojo</w:t>
            </w:r>
          </w:p>
        </w:tc>
        <w:tc>
          <w:tcPr>
            <w:tcW w:type="dxa" w:w="34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edad (FIFO) / mínima fuerza / mínima utilidad / azar</w:t>
            </w:r>
          </w:p>
        </w:tc>
        <w:tc>
          <w:tcPr>
            <w:tcW w:type="dxa" w:w="4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Olvido selectivo vs. olvido por antigüedad</w:t>
            </w:r>
          </w:p>
        </w:tc>
      </w:tr>
      <w:tr>
        <w:tc>
          <w:tcPr>
            <w:tcW w:type="dxa" w:w="19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Refuerzo por uso</w:t>
            </w:r>
          </w:p>
        </w:tc>
        <w:tc>
          <w:tcPr>
            <w:tcW w:type="dxa" w:w="34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no / sí</w:t>
            </w:r>
          </w:p>
        </w:tc>
        <w:tc>
          <w:tcPr>
            <w:tcW w:type="dxa" w:w="44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Potenciación a largo plazo por reactivación</w:t>
            </w:r>
          </w:p>
        </w:tc>
      </w:tr>
    </w:tbl>
    <w:p>
      <w:pPr>
        <w:spacing w:after="180"/>
      </w:pPr>
    </w:p>
    <w:p>
      <w:pPr>
        <w:spacing w:after="160" w:line="300"/>
      </w:pPr>
      <w:r>
        <w:t xml:space="preserve">El producto cartesiano da 576 arquitecturas, lo bastante pequeño para enumerarlo de forma exhaustiva — una ventaja metodológica importante frente al NAS convencional, donde el espacio obliga a usar búsqueda aproximada y los resultados dependen del optimizador. Aquí la búsqueda es completa, así que las conclusiones sobre importancia de componentes no están confundidas con el comportamiento del buscador.</w:t>
      </w:r>
    </w:p>
    <w:p>
      <w:pPr>
        <w:pStyle w:val="Heading1"/>
      </w:pPr>
      <w:r>
        <w:t xml:space="preserve">4. Batería de evaluación</w:t>
      </w:r>
    </w:p>
    <w:p>
      <w:pPr>
        <w:spacing w:after="160" w:line="300"/>
      </w:pPr>
      <w:r>
        <w:t xml:space="preserve">Tres tareas, todas bajo presión de capacidad, que es la condición realista de un robot con memoria acotada operando de forma continua:</w:t>
      </w:r>
    </w:p>
    <w:p>
      <w:pPr>
        <w:pStyle w:val="ListParagraph"/>
        <w:numPr>
          <w:ilvl w:val="0"/>
          <w:numId w:val="2"/>
        </w:numPr>
        <w:spacing w:after="140" w:line="300"/>
      </w:pPr>
      <w:r>
        <w:rPr>
          <w:b/>
          <w:bCs/>
        </w:rPr>
        <w:t xml:space="preserve">Retención de eventos raros. </w:t>
      </w:r>
      <w:r>
        <w:t xml:space="preserve">Un flujo dominado por experiencias comunes y repetitivas, con unos pocos eventos raros de alto error de predicción intercalados. Mide si la arquitectura conserva lo raro pero importante, en vez de dejarlo desplazar por la rutina.</w:t>
      </w:r>
    </w:p>
    <w:p>
      <w:pPr>
        <w:pStyle w:val="ListParagraph"/>
        <w:numPr>
          <w:ilvl w:val="0"/>
          <w:numId w:val="2"/>
        </w:numPr>
        <w:spacing w:after="140" w:line="300"/>
      </w:pPr>
      <w:r>
        <w:rPr>
          <w:b/>
          <w:bCs/>
        </w:rPr>
        <w:t xml:space="preserve">Robustez al ruido. </w:t>
      </w:r>
      <w:r>
        <w:t xml:space="preserve">Recuperar la identidad correcta desde una clave degradada. Mide la propiedad central de una memoria asociativa.</w:t>
      </w:r>
    </w:p>
    <w:p>
      <w:pPr>
        <w:pStyle w:val="ListParagraph"/>
        <w:numPr>
          <w:ilvl w:val="0"/>
          <w:numId w:val="2"/>
        </w:numPr>
        <w:spacing w:after="140" w:line="300"/>
      </w:pPr>
      <w:r>
        <w:rPr>
          <w:b/>
          <w:bCs/>
        </w:rPr>
        <w:t xml:space="preserve">Interferencia y olvido. </w:t>
      </w:r>
      <w:r>
        <w:t xml:space="preserve">Bloques secuenciales de patrones; se mide cuánto del primer bloque sobrevive al final. Es la versión medible del olvido catastrófico, el problema central del aprendizaje continuo.</w:t>
      </w:r>
    </w:p>
    <w:p>
      <w:pPr>
        <w:pStyle w:val="Heading1"/>
      </w:pPr>
      <w:r>
        <w:t xml:space="preserve">5. Resultado del piloto (ya ejecutado)</w:t>
      </w:r>
    </w:p>
    <w:p>
      <w:pPr>
        <w:spacing w:after="160" w:line="300"/>
      </w:pPr>
      <w:r>
        <w:t xml:space="preserve">El piloto no es una simulación de lo que se haría: la búsqueda exhaustiva sobre las 576 arquitecturas ya se ejecutó, con tres semillas por tarea, en 58 segundos de cómputo. Los hallazgos:</w:t>
      </w:r>
    </w:p>
    <w:p>
      <w:pPr>
        <w:pStyle w:val="ListParagraph"/>
        <w:numPr>
          <w:ilvl w:val="0"/>
          <w:numId w:val="3"/>
        </w:numPr>
        <w:spacing w:after="100" w:line="300"/>
      </w:pPr>
      <w:r>
        <w:rPr>
          <w:b/>
          <w:bCs/>
        </w:rPr>
        <w:t xml:space="preserve">El diseño incumbente está lejos de la frontera. </w:t>
      </w:r>
      <w:r>
        <w:t xml:space="preserve">El FIFO de e-MDB obtiene un puntaje medio de 0.261 y queda en el puesto 415 de 576 — dentro del 28% inferior de su propio espacio de diseño. Las mejores arquitecturas alcanzan 0.856.</w:t>
      </w:r>
    </w:p>
    <w:p>
      <w:pPr>
        <w:pStyle w:val="ListParagraph"/>
        <w:numPr>
          <w:ilvl w:val="0"/>
          <w:numId w:val="3"/>
        </w:numPr>
        <w:spacing w:after="100" w:line="300"/>
      </w:pPr>
      <w:r>
        <w:rPr>
          <w:b/>
          <w:bCs/>
        </w:rPr>
        <w:t xml:space="preserve">La brecha está concentrada, no repartida. </w:t>
      </w:r>
      <w:r>
        <w:t xml:space="preserve">En retención de eventos raros el FIFO logra 0.017 frente a 1.000 de las mejores; en resistencia a interferencia, 0.000 frente a 1.000. En robustez al ruido, en cambio, no hay diferencia alguna.</w:t>
      </w:r>
    </w:p>
    <w:p>
      <w:pPr>
        <w:pStyle w:val="ListParagraph"/>
        <w:numPr>
          <w:ilvl w:val="0"/>
          <w:numId w:val="3"/>
        </w:numPr>
        <w:spacing w:after="100" w:line="300"/>
      </w:pPr>
      <w:r>
        <w:rPr>
          <w:b/>
          <w:bCs/>
        </w:rPr>
        <w:t xml:space="preserve">Un solo mecanismo domina. </w:t>
      </w:r>
      <w:r>
        <w:t xml:space="preserve">La política de escritura (consolidación por fusión) explica el 63.5% de la varianza de desempeño. El desalojo aporta 9.9%, el decaimiento 2.5%.</w:t>
      </w:r>
    </w:p>
    <w:p>
      <w:pPr>
        <w:pStyle w:val="ListParagraph"/>
        <w:numPr>
          <w:ilvl w:val="0"/>
          <w:numId w:val="3"/>
        </w:numPr>
        <w:spacing w:after="100" w:line="300"/>
      </w:pPr>
      <w:r>
        <w:rPr>
          <w:b/>
          <w:bCs/>
        </w:rPr>
        <w:t xml:space="preserve">Un resultado negativo que vale la pena publicar. </w:t>
      </w:r>
      <w:r>
        <w:t xml:space="preserve">La modulación de la fuerza inicial por novedad y error de predicción — el mecanismo intuitivamente más atractivo y el más citado como "bioinspirado" — explica apenas el 0.2% de la varianza como efecto principal. Solo aparece en las arquitecturas de punta en interacción con el desalojo por mínima fuerza, no por sí sola.</w:t>
      </w:r>
    </w:p>
    <w:p>
      <w:pPr>
        <w:pStyle w:val="ListParagraph"/>
        <w:numPr>
          <w:ilvl w:val="0"/>
          <w:numId w:val="3"/>
        </w:numPr>
        <w:spacing w:after="100" w:line="300"/>
      </w:pPr>
      <w:r>
        <w:rPr>
          <w:b/>
          <w:bCs/>
        </w:rPr>
        <w:t xml:space="preserve">Hay tensión entre objetivos. </w:t>
      </w:r>
      <w:r>
        <w:t xml:space="preserve">Ninguna arquitectura gana en todo: la mejor en retención de eventos raros usa anexado con saliencia, mientras la mejor en resistencia a interferencia usa fusión con fuerza constante. Eso sugiere una frontera de Pareto, no un ganador único.</w:t>
      </w:r>
    </w:p>
    <w:p>
      <w:pPr>
        <w:spacing w:after="180"/>
      </w:pPr>
    </w:p>
    <w:p>
      <w:r>
        <w:drawing>
          <wp:inline distT="0" distB="0" distL="0" distR="0">
            <wp:extent cx="5905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81225"/>
                    </a:xfrm>
                    <a:prstGeom prst="rect">
                      <a:avLst/>
                    </a:prstGeom>
                  </pic:spPr>
                </pic:pic>
              </a:graphicData>
            </a:graphic>
          </wp:inline>
        </w:drawing>
      </w:r>
    </w:p>
    <w:p>
      <w:pPr>
        <w:spacing w:after="200" w:before="100"/>
      </w:pPr>
      <w:r>
        <w:rPr>
          <w:i/>
          <w:iCs/>
          <w:color w:val="5B6470"/>
          <w:sz w:val="19"/>
          <w:szCs w:val="19"/>
        </w:rPr>
        <w:t xml:space="preserve">Figura 1. Izquierda: distribución de desempeño de las 576 arquitecturas, con el diseño incumbente marcado. Derecha: varianza explicada por cada mecanismo.</w:t>
      </w:r>
    </w:p>
    <w:p>
      <w:pPr>
        <w:pStyle w:val="Heading1"/>
      </w:pPr>
      <w:r>
        <w:t xml:space="preserve">6. Dos fallos detectados por el piloto</w:t>
      </w:r>
    </w:p>
    <w:p>
      <w:pPr>
        <w:spacing w:after="160" w:line="300"/>
      </w:pPr>
      <w:r>
        <w:t xml:space="preserve">El valor de un piloto está tanto en lo que valida como en lo que rompe. Dos problemas quedaron expuestos y deben corregirse antes de generar los resultados definitivos:</w:t>
      </w:r>
    </w:p>
    <w:p>
      <w:pPr>
        <w:spacing w:after="160" w:line="300"/>
      </w:pPr>
      <w:r>
        <w:rPr>
          <w:b/>
          <w:bCs/>
        </w:rPr>
        <w:t xml:space="preserve">El eje de modo de lectura no está realmente implementado. </w:t>
      </w:r>
      <w:r>
        <w:t xml:space="preserve">Su 0.0% de varianza explicada es un artefacto, no un hallazgo: la implementación actual devuelve el mejor coincidente en los tres modos, sin superponer de verdad las ubicaciones activadas. La lectura distribuida tipo SDM debe implementarse como superposición real antes de poder afirmar nada sobre ese eje.</w:t>
      </w:r>
    </w:p>
    <w:p>
      <w:pPr>
        <w:spacing w:after="160" w:line="300"/>
      </w:pPr>
      <w:r>
        <w:rPr>
          <w:b/>
          <w:bCs/>
        </w:rPr>
        <w:t xml:space="preserve">La tarea de robustez al ruido no discrimina. </w:t>
      </w:r>
      <w:r>
        <w:t xml:space="preserve">Devuelve exactamente 0.767 para las 576 arquitecturas, lo que la vuelve inútil como señal de búsqueda. La causa es que almacena tantos ítems como capacidad hay, de modo que nunca se activa el desalojo. Necesita presión de capacidad y niveles de ruido escalonados.</w:t>
      </w:r>
    </w:p>
    <w:p>
      <w:pPr>
        <w:spacing w:after="160" w:line="300"/>
      </w:pPr>
      <w:r>
        <w:t xml:space="preserve">Ninguno de los dos invalida los hallazgos sobre escritura, desalojo y decaimiento, que son los que sostienen la contribución principal. Pero sí acotan qué se puede afirmar en la versión actual.</w:t>
      </w:r>
    </w:p>
    <w:p>
      <w:pPr>
        <w:pStyle w:val="Heading1"/>
      </w:pPr>
      <w:r>
        <w:t xml:space="preserve">7. Plan de ejecución</w:t>
      </w:r>
    </w:p>
    <w:p>
      <w:pPr>
        <w:spacing w:after="160" w:line="300"/>
      </w:pPr>
      <w:r>
        <w:t xml:space="preserve">Cinco bloques de trabajo, ordenados por dependencia:</w:t>
      </w:r>
    </w:p>
    <w:p>
      <w:pPr>
        <w:pStyle w:val="ListParagraph"/>
        <w:numPr>
          <w:ilvl w:val="0"/>
          <w:numId w:val="2"/>
        </w:numPr>
        <w:spacing w:after="140" w:line="300"/>
      </w:pPr>
      <w:r>
        <w:rPr>
          <w:b/>
          <w:bCs/>
        </w:rPr>
        <w:t xml:space="preserve">Corregir los dos fallos de la sección 6. </w:t>
      </w:r>
      <w:r>
        <w:t xml:space="preserve">Implementar la superposición real en la lectura distribuida y rediseñar la tarea de ruido con presión de capacidad. Sin esto, dos de los seis ejes no son interpretables.</w:t>
      </w:r>
    </w:p>
    <w:p>
      <w:pPr>
        <w:pStyle w:val="ListParagraph"/>
        <w:numPr>
          <w:ilvl w:val="0"/>
          <w:numId w:val="2"/>
        </w:numPr>
        <w:spacing w:after="140" w:line="300"/>
      </w:pPr>
      <w:r>
        <w:rPr>
          <w:b/>
          <w:bCs/>
        </w:rPr>
        <w:t xml:space="preserve">Ampliar el espacio y la evaluación. </w:t>
      </w:r>
      <w:r>
        <w:t xml:space="preserve">Añadir el sustrato spiking con STDP como eje de direccionamiento (ya implementado y validado por separado), subir a diez semillas por configuración para poder reportar intervalos de confianza, y añadir una cuarta tarea de generalización a patrones no vistos.</w:t>
      </w:r>
    </w:p>
    <w:p>
      <w:pPr>
        <w:pStyle w:val="ListParagraph"/>
        <w:numPr>
          <w:ilvl w:val="0"/>
          <w:numId w:val="2"/>
        </w:numPr>
        <w:spacing w:after="140" w:line="300"/>
      </w:pPr>
      <w:r>
        <w:rPr>
          <w:b/>
          <w:bCs/>
        </w:rPr>
        <w:t xml:space="preserve">Análisis estadístico formal. </w:t>
      </w:r>
      <w:r>
        <w:t xml:space="preserve">ANOVA factorial con términos de interacción, no solo efectos principales — el hallazgo sobre saliencia depende precisamente de una interacción. Reportar tamaños de efecto, no solo significancia.</w:t>
      </w:r>
    </w:p>
    <w:p>
      <w:pPr>
        <w:pStyle w:val="ListParagraph"/>
        <w:numPr>
          <w:ilvl w:val="0"/>
          <w:numId w:val="2"/>
        </w:numPr>
        <w:spacing w:after="140" w:line="300"/>
      </w:pPr>
      <w:r>
        <w:rPr>
          <w:b/>
          <w:bCs/>
        </w:rPr>
        <w:t xml:space="preserve">Frontera de Pareto multiobjetivo. </w:t>
      </w:r>
      <w:r>
        <w:t xml:space="preserve">Caracterizar el conjunto no dominado entre retención, robustez y resistencia a interferencia, y describir qué mecanismo se intercambia por cuál a lo largo de la frontera.</w:t>
      </w:r>
    </w:p>
    <w:p>
      <w:pPr>
        <w:pStyle w:val="ListParagraph"/>
        <w:numPr>
          <w:ilvl w:val="0"/>
          <w:numId w:val="2"/>
        </w:numPr>
        <w:spacing w:after="140" w:line="300"/>
      </w:pPr>
      <w:r>
        <w:rPr>
          <w:b/>
          <w:bCs/>
        </w:rPr>
        <w:t xml:space="preserve">Validación fuera del espacio sintético. </w:t>
      </w:r>
      <w:r>
        <w:t xml:space="preserve">Tomar las tres o cuatro arquitecturas de la frontera y evaluarlas en una tarea de navegación con observabilidad parcial. Este bloque es el que da el puente hacia robótica y hacia el track correspondiente, pero es también el más costoso; ver la sección de riesgos.</w:t>
      </w:r>
    </w:p>
    <w:p>
      <w:pPr>
        <w:pStyle w:val="Heading1"/>
      </w:pPr>
      <w:r>
        <w:t xml:space="preserve">8. Estructura del artículo</w:t>
      </w:r>
    </w:p>
    <w:p>
      <w:pPr>
        <w:spacing w:after="160" w:line="300"/>
      </w:pPr>
      <w:r>
        <w:t xml:space="preserve">Distribución tentativa para 8 páginas en formato IEEE de doble columna: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50"/>
        <w:gridCol w:w="6270"/>
        <w:gridCol w:w="1700"/>
      </w:tblGrid>
      <w:tr>
        <w:tc>
          <w:tcPr>
            <w:tcW w:type="dxa" w:w="175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Sección</w:t>
            </w:r>
          </w:p>
        </w:tc>
        <w:tc>
          <w:tcPr>
            <w:tcW w:type="dxa" w:w="627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Contenido</w:t>
            </w:r>
          </w:p>
        </w:tc>
        <w:tc>
          <w:tcPr>
            <w:tcW w:type="dxa" w:w="170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Extensión</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I. Introduction</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El problema de método: mecanismos bioinspirados evaluados aislados y sin espacio de diseño común. Contribuciones.</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~0.75 pág.</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II. Related Work</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Sparse Distributed Memory; engramas y sus modelos computacionales; plasticidad Hebbiana y STDP; NAS; memoria en arquitecturas cognitivas.</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~1 pág.</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III. Search Space</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Los seis componentes, su raíz biológica, y la codificación del genotipo. El diseño incumbente como punto del espacio.</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~1.25 pág.</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IV. Evaluation Battery</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Las cuatro tareas, sus métricas y por qué la presión de capacidad es la condición relevante.</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~1 pág.</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V. Results</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Distribución del espacio; posición del incumbente; varianza explicada; interacciones; frontera de Pareto.</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~2 pág.</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VI. Discussion</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Qué mecanismos importan y cuáles no; el resultado negativo sobre saliencia; implicaciones para diseño de memoria en robótica cognitiva.</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~1 pág.</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VII. Limitations &amp; Future Work</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Tareas sintéticas; ausencia de validación en robot físico; espacio discreto y acotado.</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~0.5 pág.</w:t>
            </w:r>
          </w:p>
        </w:tc>
      </w:tr>
      <w:tr>
        <w:tc>
          <w:tcPr>
            <w:tcW w:type="dxa" w:w="175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References</w:t>
            </w:r>
          </w:p>
        </w:tc>
        <w:tc>
          <w:tcPr>
            <w:tcW w:type="dxa" w:w="627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Aproximadamente 20 a 25 referencias.</w:t>
            </w:r>
          </w:p>
        </w:tc>
        <w:tc>
          <w:tcPr>
            <w:tcW w:type="dxa" w:w="17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~0.5 pág.</w:t>
            </w:r>
          </w:p>
        </w:tc>
      </w:tr>
    </w:tbl>
    <w:p>
      <w:pPr>
        <w:pStyle w:val="Heading1"/>
      </w:pPr>
      <w:r>
        <w:t xml:space="preserve">9. Riesgos y decisiones pendientes</w:t>
      </w:r>
    </w:p>
    <w:p>
      <w:pPr>
        <w:spacing w:after="160" w:line="300"/>
      </w:pPr>
      <w:r>
        <w:rPr>
          <w:b/>
          <w:bCs/>
        </w:rPr>
        <w:t xml:space="preserve">Riesgo alto — la fecha límite. </w:t>
      </w:r>
      <w:r>
        <w:t xml:space="preserve">Es el riesgo dominante y no es técnico. Si el plazo ya venció o vence en días, la decisión es apuntar a otra conferencia en vez de comprimir el trabajo hasta romperlo. Confirmarlo es la primera tarea.</w:t>
      </w:r>
    </w:p>
    <w:p>
      <w:pPr>
        <w:spacing w:after="160" w:line="300"/>
      </w:pPr>
      <w:r>
        <w:rPr>
          <w:b/>
          <w:bCs/>
        </w:rPr>
        <w:t xml:space="preserve">Riesgo medio — el alcance del bloque 5. </w:t>
      </w:r>
      <w:r>
        <w:t xml:space="preserve">La validación en navegación es lo que más fortalecería el artículo, y también lo que más puede desbordar el cronograma. Recomendación: tratarlo como opcional y decidir a mitad de camino, con la versión sin navegación como entregable defendible por sí sola. El artículo se sostiene sin ese bloque; la contribución metodológica no depende de él.</w:t>
      </w:r>
    </w:p>
    <w:p>
      <w:pPr>
        <w:spacing w:after="160" w:line="300"/>
      </w:pPr>
      <w:r>
        <w:rPr>
          <w:b/>
          <w:bCs/>
        </w:rPr>
        <w:t xml:space="preserve">Riesgo medio — resultados sintéticos. </w:t>
      </w:r>
      <w:r>
        <w:t xml:space="preserve">Un revisor puede objetar que toda la evidencia proviene de tareas sintéticas. La defensa honesta es doble: primero, que el control experimental es precisamente lo que permite aislar efectos por mecanismo, cosa imposible en un entorno real ruidoso; segundo, declararlo abiertamente como limitación en la sección VII en vez de dejar que lo descubra el revisor.</w:t>
      </w:r>
    </w:p>
    <w:p>
      <w:pPr>
        <w:spacing w:after="160" w:line="300"/>
      </w:pPr>
      <w:r>
        <w:rPr>
          <w:b/>
          <w:bCs/>
        </w:rPr>
        <w:t xml:space="preserve">Riesgo bajo — novedad. </w:t>
      </w:r>
      <w:r>
        <w:t xml:space="preserve">Aplicar NAS a memorias bioinspiradas no es un territorio saturado, pero conviene revisar la literatura antes de afirmar novedad en la introducción. Ese es el primer paso del bloque 2 del plan.</w:t>
      </w:r>
    </w:p>
    <w:p>
      <w:pPr>
        <w:spacing w:after="180"/>
      </w:pPr>
    </w:p>
    <w:p>
      <w:pPr>
        <w:spacing w:after="160" w:line="300"/>
      </w:pPr>
      <w:r>
        <w:t xml:space="preserve">Decisiones que quedan del lado del equipo: confirmar la fecha límite; definir si el bloque 5 entra o no; y confirmar la autoría, que por ahora se asume como Allan Bolaños y Esteban Arias, con la posibilidad de sumar a Michael si participa en los bloques experimentales.</w:t>
      </w:r>
    </w:p>
    <w:p>
      <w:pPr>
        <w:pStyle w:val="Heading1"/>
      </w:pPr>
      <w:r>
        <w:t xml:space="preserve">10. Estado y siguiente paso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500"/>
        <w:gridCol w:w="3220"/>
      </w:tblGrid>
      <w:tr>
        <w:tc>
          <w:tcPr>
            <w:tcW w:type="dxa" w:w="650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Ítem</w:t>
            </w:r>
          </w:p>
        </w:tc>
        <w:tc>
          <w:tcPr>
            <w:tcW w:type="dxa" w:w="3220"/>
            <w:tcBorders>
              <w:top w:val="single" w:color="D8D2C7" w:sz="2"/>
              <w:left w:val="single" w:color="D8D2C7" w:sz="2"/>
              <w:bottom w:val="single" w:color="D8D2C7" w:sz="2"/>
              <w:right w:val="single" w:color="D8D2C7" w:sz="2"/>
            </w:tcBorders>
            <w:shd w:fill="1F2B3E" w:val="clear"/>
            <w:tcMar>
              <w:top w:type="dxa" w:w="95"/>
              <w:left w:type="dxa" w:w="130"/>
              <w:bottom w:type="dxa" w:w="95"/>
              <w:right w:type="dxa" w:w="130"/>
            </w:tcMar>
          </w:tcPr>
          <w:p>
            <w:pPr>
              <w:spacing w:line="265"/>
            </w:pPr>
            <w:r>
              <w:rPr>
                <w:b/>
                <w:bCs/>
                <w:color w:val="FFFFFF"/>
                <w:sz w:val="19"/>
                <w:szCs w:val="19"/>
              </w:rPr>
              <w:t xml:space="preserve">Estado</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Idea y encuadre del artículo</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Definido</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Espacio de búsqueda (576 arquitecturas)</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Implementado y ejecutado</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Batería de evaluación (3 tareas)</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Implementada; una tarea requiere rediseño</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Búsqueda exhaustiva + análisis de importancia</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Ejecutados</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Corrección de los dos fallos detectados</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Pendiente</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Ampliación del espacio y semillas</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Pendiente</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Análisis estadístico formal</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Pendiente</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Validación en navegación (opcional)</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No iniciado</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Redacción del artículo (IEEE, inglés)</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No iniciada</w:t>
            </w:r>
          </w:p>
        </w:tc>
      </w:tr>
      <w:tr>
        <w:tc>
          <w:tcPr>
            <w:tcW w:type="dxa" w:w="650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Confirmación de fecha límite</w:t>
            </w:r>
          </w:p>
        </w:tc>
        <w:tc>
          <w:tcPr>
            <w:tcW w:type="dxa" w:w="3220"/>
            <w:tcBorders>
              <w:top w:val="single" w:color="D8D2C7" w:sz="2"/>
              <w:left w:val="single" w:color="D8D2C7" w:sz="2"/>
              <w:bottom w:val="single" w:color="D8D2C7" w:sz="2"/>
              <w:right w:val="single" w:color="D8D2C7" w:sz="2"/>
            </w:tcBorders>
            <w:tcMar>
              <w:top w:type="dxa" w:w="95"/>
              <w:left w:type="dxa" w:w="130"/>
              <w:bottom w:type="dxa" w:w="95"/>
              <w:right w:type="dxa" w:w="130"/>
            </w:tcMar>
          </w:tcPr>
          <w:p>
            <w:pPr>
              <w:spacing w:line="265"/>
            </w:pPr>
            <w:r>
              <w:rPr>
                <w:b w:val="false"/>
                <w:bCs w:val="false"/>
                <w:color w:val="2A2A2A"/>
                <w:sz w:val="19"/>
                <w:szCs w:val="19"/>
              </w:rPr>
              <w:t xml:space="preserve">Pendiente — bloqueante</w:t>
            </w:r>
          </w:p>
        </w:tc>
      </w:tr>
    </w:tbl>
    <w:p>
      <w:pPr>
        <w:spacing w:after="180"/>
      </w:pPr>
    </w:p>
    <w:p>
      <w:pPr>
        <w:spacing w:after="160" w:line="300"/>
      </w:pPr>
      <w:r>
        <w:t xml:space="preserve">El siguiente paso natural, una vez confirmado el plazo, es el bloque 1 del plan: corregir los dos fallos detectados y volver a correr la búsqueda, de modo que los seis ejes queden interpretables antes de escribir una sola línea de la sección de resultados.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7"/>
        <w:szCs w:val="17"/>
      </w:rPr>
      <w:t xml:space="preserve">Página </w:t>
    </w:r>
    <w:r>
      <w:rPr>
        <w:color w:val="5B64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7" w:sz="4" w:space="4"/>
      </w:pBdr>
      <w:tabs>
        <w:tab w:val="right" w:pos="9026"/>
      </w:tabs>
    </w:pPr>
    <w:r>
      <w:rPr>
        <w:b/>
        <w:bCs/>
        <w:color w:val="5B6470"/>
        <w:sz w:val="17"/>
        <w:szCs w:val="17"/>
      </w:rPr>
      <w:t xml:space="preserve">Propuesta BIP 2026</w:t>
    </w:r>
    <w:r>
      <w:rPr>
        <w:color w:val="5B6470"/>
        <w:sz w:val="17"/>
        <w:szCs w:val="17"/>
      </w:rPr>
      <w:t xml:space="preserve">	NAS sobre memoria bioinspirada · EMBER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6B2C" w:sz="8" w:space="4"/>
      </w:pBdr>
      <w:spacing w:after="170" w:before="320"/>
      <w:outlineLvl w:val="0"/>
    </w:pPr>
    <w:rPr>
      <w:rFonts w:ascii="Georgia" w:cs="Georgia" w:eastAsia="Georgia" w:hAnsi="Georgia"/>
      <w:b/>
      <w:bCs/>
      <w:color w:val="1F2B3E"/>
      <w:sz w:val="29"/>
      <w:szCs w:val="29"/>
    </w:rPr>
  </w:style>
  <w:style w:type="paragraph" w:styleId="Heading2">
    <w:name w:val="Heading 2"/>
    <w:basedOn w:val="Normal"/>
    <w:next w:val="Normal"/>
    <w:qFormat/>
    <w:pPr>
      <w:spacing w:after="130" w:before="230"/>
      <w:outlineLvl w:val="1"/>
    </w:pPr>
    <w:rPr>
      <w:rFonts w:ascii="Georgia" w:cs="Georgia" w:eastAsia="Georgia" w:hAnsi="Georgia"/>
      <w:b/>
      <w:bCs/>
      <w:color w:val="C76B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81d9e84583666e39a28f2435ebf4500d6533e0.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2026-07-23T21:48:33.743Z</dcterms:created>
  <dcterms:modified xsi:type="dcterms:W3CDTF">2026-07-23T21:48:33.756Z</dcterms:modified>
</cp:coreProperties>
</file>

<file path=docProps/custom.xml><?xml version="1.0" encoding="utf-8"?>
<Properties xmlns="http://schemas.openxmlformats.org/officeDocument/2006/custom-properties" xmlns:vt="http://schemas.openxmlformats.org/officeDocument/2006/docPropsVTypes"/>
</file>