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0"/>
      </w:pPr>
      <w:r>
        <w:rPr>
          <w:b/>
          <w:bCs/>
          <w:color w:val="14304F"/>
          <w:sz w:val="56"/>
          <w:szCs w:val="56"/>
        </w:rPr>
        <w:t xml:space="preserve">Mandat Lauren</w:t>
      </w:r>
    </w:p>
    <w:p>
      <w:pPr>
        <w:spacing w:after="400"/>
      </w:pPr>
      <w:r>
        <w:rPr>
          <w:color w:val="5A6069"/>
          <w:sz w:val="36"/>
          <w:szCs w:val="36"/>
        </w:rPr>
        <w:t xml:space="preserve">Dossier technique</w:t>
      </w:r>
    </w:p>
    <w:p>
      <w:pPr>
        <w:spacing w:after="120" w:line="276"/>
        <w:jc w:val="both"/>
      </w:pPr>
      <w:r>
        <w:rPr>
          <w:b w:val="false"/>
          <w:bCs w:val="false"/>
        </w:rPr>
        <w:t xml:space="preserve">Gestion privée · 100 M€ · préserver le pouvoir d'achat sous contrainte de perte maximum de 15 %</w:t>
      </w:r>
    </w:p>
    <w:p>
      <w:pPr>
        <w:spacing w:after="160"/>
      </w:pPr>
    </w:p>
    <w:p>
      <w:pPr>
        <w:spacing w:after="120" w:line="276"/>
        <w:jc w:val="both"/>
      </w:pPr>
      <w:r>
        <w:rPr>
          <w:b w:val="false"/>
          <w:bCs w:val="false"/>
        </w:rPr>
        <w:t xml:space="preserve"/>
      </w:r>
      <w:r>
        <w:rPr>
          <w:b/>
          <w:bCs/>
        </w:rPr>
        <w:t xml:space="preserve">À quoi sert ce document.</w:t>
      </w:r>
      <w:r>
        <w:rPr>
          <w:b w:val="false"/>
          <w:bCs w:val="false"/>
        </w:rPr>
        <w:t xml:space="preserve"> Le PowerPoint répond à « qu'est-ce que vous proposez ». Celui-ci répond à « pourquoi, et comment le savez-vous ». Il est fait pour être lu avant la soutenance et gardé sous la main pendant les questions. Chaque chiffre y est accompagné de sa méthode, de sa source et de sa limite.</w:t>
      </w:r>
    </w:p>
    <w:p>
      <w:pPr>
        <w:spacing w:after="120" w:line="276"/>
        <w:jc w:val="both"/>
      </w:pPr>
      <w:r>
        <w:rPr>
          <w:b w:val="false"/>
          <w:bCs w:val="false"/>
        </w:rPr>
        <w:t xml:space="preserve"/>
      </w:r>
      <w:r>
        <w:rPr>
          <w:b/>
          <w:bCs/>
        </w:rPr>
        <w:t xml:space="preserve">État au 21 septembre 2026.</w:t>
      </w:r>
      <w:r>
        <w:rPr>
          <w:b w:val="false"/>
          <w:bCs w:val="false"/>
        </w:rPr>
        <w:t xml:space="preserve"> Données de marché relevées le 18/09/2026. Application en ligne : mandat-lauren.streamlit.app</w:t>
      </w:r>
    </w:p>
    <w:p>
      <w:r>
        <w:br w:type="page"/>
      </w:r>
    </w:p>
    <w:p>
      <w:pPr>
        <w:pStyle w:val="Heading1"/>
        <w:spacing w:after="160" w:before="360"/>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Le cas, et la façon dont il a été lu</w:t>
      </w:r>
    </w:p>
    <w:p>
      <w:pPr>
        <w:pStyle w:val="Heading2"/>
        <w:spacing w:after="120" w:before="280"/>
      </w:pPr>
      <w:r>
        <w:t xml:space="preserve">1.1 L'énoncé</w:t>
      </w:r>
    </w:p>
    <w:p>
      <w:pPr>
        <w:spacing w:after="120" w:line="276"/>
        <w:jc w:val="both"/>
      </w:pPr>
      <w:r>
        <w:rPr>
          <w:b w:val="false"/>
          <w:bCs w:val="false"/>
        </w:rPr>
        <w:t xml:space="preserve">M. Lauren, 60 ans, marié, deux enfants, résident fiscal français, vient de céder sa startup. Il dispose de 100 M€. Il aura besoin de 10 M€ dans les deux ans. Il veut protéger le reste contre une inflation de 4 %, sans jamais perdre plus de 15 %. Il exclut le tabac, l'armement et le charbon. Son fils voudrait de la crypto, lui hésite. Il est inquiet sur l'Europe comme sur les États-Unis.</w:t>
      </w:r>
    </w:p>
    <w:p>
      <w:pPr>
        <w:pStyle w:val="Heading2"/>
        <w:spacing w:after="120" w:before="280"/>
      </w:pPr>
      <w:r>
        <w:t xml:space="preserve">1.2 La lecture retenue, et pourquoi elle n'est pas neutre</w:t>
      </w:r>
    </w:p>
    <w:p>
      <w:pPr>
        <w:spacing w:after="120" w:line="276"/>
        <w:jc w:val="both"/>
      </w:pPr>
      <w:r>
        <w:rPr>
          <w:b w:val="false"/>
          <w:bCs w:val="false"/>
        </w:rPr>
        <w:t xml:space="preserve">Trois décisions de lecture commandent tout le reste. Elles sont contestables, et c'est pour cela qu'elles sont écrites ici.</w:t>
      </w:r>
    </w:p>
    <w:p>
      <w:pPr>
        <w:spacing w:after="120" w:line="276"/>
        <w:jc w:val="both"/>
      </w:pPr>
      <w:r>
        <w:rPr>
          <w:b w:val="false"/>
          <w:bCs w:val="false"/>
        </w:rPr>
        <w:t xml:space="preserve"/>
      </w:r>
      <w:r>
        <w:rPr>
          <w:b/>
          <w:bCs/>
        </w:rPr>
        <w:t xml:space="preserve">Le 4 % est un taux d'inflation, pas un objectif de performance.</w:t>
      </w:r>
      <w:r>
        <w:rPr>
          <w:b w:val="false"/>
          <w:bCs w:val="false"/>
        </w:rPr>
        <w:t xml:space="preserve"> L'énoncé dit « protéger contre une inflation de 4 % » : le 4 % qualifie l'inflation. L'objectif est donc de préserver le pouvoir d'achat, soit un rendement réel de zéro, soit 4 % nominal. Une autre lecture existe — 4 % </w:t>
      </w:r>
      <w:r>
        <w:rPr>
          <w:b/>
          <w:bCs/>
        </w:rPr>
        <w:t xml:space="preserve">au-dessus</w:t>
      </w:r>
      <w:r>
        <w:rPr>
          <w:b w:val="false"/>
          <w:bCs w:val="false"/>
        </w:rPr>
        <w:t xml:space="preserve"> de l'inflation, donc 8 % nominal — et elle a été testée : elle est hors d'atteinte sous la contrainte de perte (voir § 6.4).</w:t>
      </w:r>
    </w:p>
    <w:p>
      <w:pPr>
        <w:spacing w:after="120" w:line="276"/>
        <w:jc w:val="both"/>
      </w:pPr>
      <w:r>
        <w:rPr>
          <w:b w:val="false"/>
          <w:bCs w:val="false"/>
        </w:rPr>
        <w:t xml:space="preserve"/>
      </w:r>
      <w:r>
        <w:rPr>
          <w:b/>
          <w:bCs/>
        </w:rPr>
        <w:t xml:space="preserve">La perte de 15 % se mesure depuis le plus haut atteint, sur les 100 M€ consolidés en euros, et doit tenir au pire cas des crises passées.</w:t>
      </w:r>
      <w:r>
        <w:rPr>
          <w:b w:val="false"/>
          <w:bCs w:val="false"/>
        </w:rPr>
        <w:t xml:space="preserve"> C'est la lecture la plus exigeante possible. Une limite sur douze mois glissants, ou une limite en probabilité, auraient toutes deux autorisé nettement plus de rendement. Le choix du pire cas est un choix de prudence assumé, pas une nécessité mathématique.</w:t>
      </w:r>
    </w:p>
    <w:p>
      <w:pPr>
        <w:spacing w:after="120" w:line="276"/>
        <w:jc w:val="both"/>
      </w:pPr>
      <w:r>
        <w:rPr>
          <w:b w:val="false"/>
          <w:bCs w:val="false"/>
        </w:rPr>
        <w:t xml:space="preserve"/>
      </w:r>
      <w:r>
        <w:rPr>
          <w:b/>
          <w:bCs/>
        </w:rPr>
        <w:t xml:space="preserve">Les 10 M€ ne participent pas à la recherche de rendement.</w:t>
      </w:r>
      <w:r>
        <w:rPr>
          <w:b w:val="false"/>
          <w:bCs w:val="false"/>
        </w:rPr>
        <w:t xml:space="preserve"> Un décaissement quasi certain à moins de deux ans ne peut pas être exposé. On investit donc réellement 90 M€ pour l'objectif, mais la limite de perte se mesure bien sur les 100 M€.</w:t>
      </w:r>
    </w:p>
    <w:tbl>
      <w:tblPr>
        <w:tblW w:type="dxa" w:w="9360"/>
        <w:tblBorders>
          <w:top w:val="single" w:color="C9CFD6" w:sz="2"/>
          <w:left w:val="single" w:color="14304F" w:sz="12"/>
          <w:bottom w:val="single" w:color="C9CFD6" w:sz="2"/>
          <w:right w:val="single" w:color="C9CFD6" w:sz="2"/>
          <w:insideH w:val="none"/>
          <w:insideV w:val="none"/>
        </w:tblBorders>
      </w:tblPr>
      <w:tblGrid>
        <w:gridCol w:w="9360"/>
      </w:tblGrid>
      <w:tr>
        <w:tc>
          <w:tcPr>
            <w:tcW w:type="dxa" w:w="9360"/>
            <w:shd w:fill="F2F4F7" w:val="clear"/>
            <w:tcMar>
              <w:top w:type="dxa" w:w="160"/>
              <w:left w:type="dxa" w:w="200"/>
              <w:bottom w:type="dxa" w:w="160"/>
              <w:right w:type="dxa" w:w="200"/>
            </w:tcMar>
          </w:tcPr>
          <w:p>
            <w:pPr>
              <w:spacing w:after="80"/>
            </w:pPr>
            <w:r>
              <w:rPr>
                <w:b/>
                <w:bCs/>
                <w:color w:val="14304F"/>
              </w:rPr>
              <w:t xml:space="preserve">Hypothèse de travail sur la devise</w:t>
            </w:r>
          </w:p>
          <w:p>
            <w:pPr>
              <w:spacing w:after="120" w:line="276"/>
              <w:jc w:val="both"/>
            </w:pPr>
            <w:r>
              <w:rPr>
                <w:b w:val="false"/>
                <w:bCs w:val="false"/>
              </w:rPr>
              <w:t xml:space="preserve">Le patrimoine est déjà en euros et il n'y a pas de décision de conversion du notionnel. La couverture de change des actifs étrangers reste, elle, une décision d'allocation : elle est traitée à l'étape 3 (§ 4.4).</w:t>
            </w:r>
          </w:p>
          <w:p>
            <w:pPr>
              <w:spacing w:after="120" w:line="276"/>
              <w:jc w:val="both"/>
            </w:pPr>
            <w:r>
              <w:rPr>
                <w:b w:val="false"/>
                <w:bCs w:val="false"/>
              </w:rPr>
              <w:t xml:space="preserve">Toutes les performances de ce dossier sont exprimées en euros, dividendes réinvestis. C'est ce qu'aurait vécu le client.</w:t>
            </w:r>
          </w:p>
        </w:tc>
      </w:tr>
    </w:tbl>
    <w:p>
      <w:pPr>
        <w:pStyle w:val="Heading2"/>
        <w:spacing w:after="120" w:before="280"/>
      </w:pPr>
      <w:r>
        <w:t xml:space="preserve">1.3 Les questions que l'énoncé laisse ouvertes</w:t>
      </w:r>
    </w:p>
    <w:p>
      <w:pPr>
        <w:spacing w:after="120" w:line="276"/>
        <w:jc w:val="both"/>
      </w:pPr>
      <w:r>
        <w:rPr>
          <w:b w:val="false"/>
          <w:bCs w:val="false"/>
        </w:rPr>
        <w:t xml:space="preserve">Elles sont posées dans l'application plutôt que tranchées en silence. Faute de réponse du client, chacune a reçu une hypothèse de travail, énoncée à l'étape où elle intervient.</w:t>
      </w:r>
    </w:p>
    <w:p>
      <w:pPr>
        <w:pStyle w:val="ListParagraph"/>
        <w:numPr>
          <w:ilvl w:val="0"/>
          <w:numId w:val="2"/>
        </w:numPr>
        <w:spacing w:after="80" w:line="276"/>
      </w:pPr>
      <w:r>
        <w:rPr>
          <w:b w:val="false"/>
          <w:bCs w:val="false"/>
        </w:rPr>
        <w:t xml:space="preserve"/>
      </w:r>
      <w:r>
        <w:rPr>
          <w:b/>
          <w:bCs/>
        </w:rPr>
        <w:t xml:space="preserve">La perte de 15 %</w:t>
      </w:r>
      <w:r>
        <w:rPr>
          <w:b w:val="false"/>
          <w:bCs w:val="false"/>
        </w:rPr>
        <w:t xml:space="preserve"> : sur quelle durée, et est-ce une limite absolue ou tolérable si rare ? Une limite « jamais » est impossible à garantir pour un portefeuille investi.</w:t>
      </w:r>
    </w:p>
    <w:p>
      <w:pPr>
        <w:pStyle w:val="ListParagraph"/>
        <w:numPr>
          <w:ilvl w:val="0"/>
          <w:numId w:val="2"/>
        </w:numPr>
        <w:spacing w:after="80" w:line="276"/>
      </w:pPr>
      <w:r>
        <w:rPr>
          <w:b w:val="false"/>
          <w:bCs w:val="false"/>
        </w:rPr>
        <w:t xml:space="preserve"/>
      </w:r>
      <w:r>
        <w:rPr>
          <w:b/>
          <w:bCs/>
        </w:rPr>
        <w:t xml:space="preserve">L'inflation à 4 %</w:t>
      </w:r>
      <w:r>
        <w:rPr>
          <w:b w:val="false"/>
          <w:bCs w:val="false"/>
        </w:rPr>
        <w:t xml:space="preserve"> : prévision ou scénario de prudence ? Quelle inflation, française ou européenne ? Et « protéger » veut-il dire chaque année, ou en moyenne sur dix ans ?</w:t>
      </w:r>
    </w:p>
    <w:p>
      <w:pPr>
        <w:pStyle w:val="ListParagraph"/>
        <w:numPr>
          <w:ilvl w:val="0"/>
          <w:numId w:val="2"/>
        </w:numPr>
        <w:spacing w:after="80" w:line="276"/>
      </w:pPr>
      <w:r>
        <w:rPr>
          <w:b w:val="false"/>
          <w:bCs w:val="false"/>
        </w:rPr>
        <w:t xml:space="preserve"/>
      </w:r>
      <w:r>
        <w:rPr>
          <w:b/>
          <w:bCs/>
        </w:rPr>
        <w:t xml:space="preserve">L'horizon</w:t>
      </w:r>
      <w:r>
        <w:rPr>
          <w:b w:val="false"/>
          <w:bCs w:val="false"/>
        </w:rPr>
        <w:t xml:space="preserve"> : à 60 ans, avec une transmission en vue, l'horizon réel dépasse probablement celui du client.</w:t>
      </w:r>
    </w:p>
    <w:p>
      <w:pPr>
        <w:pStyle w:val="ListParagraph"/>
        <w:numPr>
          <w:ilvl w:val="0"/>
          <w:numId w:val="2"/>
        </w:numPr>
        <w:spacing w:after="80" w:line="276"/>
      </w:pPr>
      <w:r>
        <w:rPr>
          <w:b w:val="false"/>
          <w:bCs w:val="false"/>
        </w:rPr>
        <w:t xml:space="preserve"/>
      </w:r>
      <w:r>
        <w:rPr>
          <w:b/>
          <w:bCs/>
        </w:rPr>
        <w:t xml:space="preserve">Les 10 M€</w:t>
      </w:r>
      <w:r>
        <w:rPr>
          <w:b w:val="false"/>
          <w:bCs w:val="false"/>
        </w:rPr>
        <w:t xml:space="preserve"> : pour quoi faire, et à quelle date ? Un achat immobilier daté ne se gère pas comme une réserve.</w:t>
      </w:r>
    </w:p>
    <w:p>
      <w:pPr>
        <w:pStyle w:val="Heading2"/>
        <w:spacing w:after="120" w:before="280"/>
      </w:pPr>
      <w:r>
        <w:t xml:space="preserve">1.4 Ce qui est hors périmètre</w:t>
      </w:r>
    </w:p>
    <w:p>
      <w:pPr>
        <w:spacing w:after="120" w:line="276"/>
        <w:jc w:val="both"/>
      </w:pPr>
      <w:r>
        <w:rPr>
          <w:b w:val="false"/>
          <w:bCs w:val="false"/>
        </w:rPr>
        <w:t xml:space="preserve">La fiscalité et la transmission font partie du cas mais pas de cet exercice, qui porte uniquement sur la chaîne d'investissement. C'est une restriction volontaire : traiter les deux superficiellement aurait affaibli l'ensemble. Conséquence à assumer en séance : les rendements présentés sont </w:t>
      </w:r>
      <w:r>
        <w:rPr>
          <w:b/>
          <w:bCs/>
        </w:rPr>
        <w:t xml:space="preserve">bruts de fiscalité</w:t>
      </w:r>
      <w:r>
        <w:rPr>
          <w:b w:val="false"/>
          <w:bCs w:val="false"/>
        </w:rPr>
        <w:t xml:space="preserve">, et le seuil de 4 % est un objectif net. Voir § 9.3.</w:t>
      </w:r>
    </w:p>
    <w:p>
      <w:r>
        <w:br w:type="page"/>
      </w:r>
    </w:p>
    <w:p>
      <w:pPr>
        <w:pStyle w:val="Heading1"/>
        <w:spacing w:after="160" w:before="360"/>
      </w:pPr>
      <w:r>
        <w:t xml:space="preserve">2. L'architecture : cinq étapes séquentielles</w:t>
      </w:r>
    </w:p>
    <w:p>
      <w:pPr>
        <w:spacing w:after="120" w:line="276"/>
        <w:jc w:val="both"/>
      </w:pPr>
      <w:r>
        <w:rPr>
          <w:b w:val="false"/>
          <w:bCs w:val="false"/>
        </w:rPr>
        <w:t xml:space="preserve">La chaîne va du plus général au plus détaillé, puis vérifie sur le passé. </w:t>
      </w:r>
      <w:r>
        <w:rPr>
          <w:b/>
          <w:bCs/>
        </w:rPr>
        <w:t xml:space="preserve">La sortie de chaque étape est l'entrée de la suivante</w:t>
      </w:r>
      <w:r>
        <w:rPr>
          <w:b w:val="false"/>
          <w:bCs w:val="false"/>
        </w:rPr>
        <w:t xml:space="preserve"> : c'est la propriété qui rend le dossier défendable, parce qu'elle permet de remonter n'importe quel chiffre jusqu'à sa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shd w:fill="14304F" w:val="clear"/>
            <w:tcMar>
              <w:top w:type="dxa" w:w="90"/>
              <w:left w:type="dxa" w:w="130"/>
              <w:bottom w:type="dxa" w:w="90"/>
              <w:right w:type="dxa" w:w="130"/>
            </w:tcMar>
          </w:tcPr>
          <w:p>
            <w:pPr>
              <w:jc w:val="left"/>
            </w:pPr>
            <w:r>
              <w:rPr>
                <w:b/>
                <w:bCs/>
                <w:color w:val="FFFFFF"/>
                <w:sz w:val="19"/>
                <w:szCs w:val="19"/>
              </w:rPr>
              <w:t xml:space="preserve">Étape</w:t>
            </w:r>
          </w:p>
        </w:tc>
        <w:tc>
          <w:tcPr>
            <w:tcW w:type="dxa" w:w="3400"/>
            <w:shd w:fill="14304F" w:val="clear"/>
            <w:tcMar>
              <w:top w:type="dxa" w:w="90"/>
              <w:left w:type="dxa" w:w="130"/>
              <w:bottom w:type="dxa" w:w="90"/>
              <w:right w:type="dxa" w:w="130"/>
            </w:tcMar>
          </w:tcPr>
          <w:p>
            <w:pPr>
              <w:jc w:val="right"/>
            </w:pPr>
            <w:r>
              <w:rPr>
                <w:b/>
                <w:bCs/>
                <w:color w:val="FFFFFF"/>
                <w:sz w:val="19"/>
                <w:szCs w:val="19"/>
              </w:rPr>
              <w:t xml:space="preserve">La question</w:t>
            </w:r>
          </w:p>
        </w:tc>
        <w:tc>
          <w:tcPr>
            <w:tcW w:type="dxa" w:w="3960"/>
            <w:shd w:fill="14304F" w:val="clear"/>
            <w:tcMar>
              <w:top w:type="dxa" w:w="90"/>
              <w:left w:type="dxa" w:w="130"/>
              <w:bottom w:type="dxa" w:w="90"/>
              <w:right w:type="dxa" w:w="130"/>
            </w:tcMar>
          </w:tcPr>
          <w:p>
            <w:pPr>
              <w:jc w:val="right"/>
            </w:pPr>
            <w:r>
              <w:rPr>
                <w:b/>
                <w:bCs/>
                <w:color w:val="FFFFFF"/>
                <w:sz w:val="19"/>
                <w:szCs w:val="19"/>
              </w:rPr>
              <w:t xml:space="preserve">Ce qu'elle produit</w:t>
            </w:r>
          </w:p>
        </w:tc>
      </w:tr>
      <w:tr>
        <w:tc>
          <w:tcPr>
            <w:tcW w:type="dxa" w:w="2000"/>
            <w:shd w:fill="FFFFFF" w:val="clear"/>
            <w:tcMar>
              <w:top w:type="dxa" w:w="90"/>
              <w:left w:type="dxa" w:w="130"/>
              <w:bottom w:type="dxa" w:w="90"/>
              <w:right w:type="dxa" w:w="130"/>
            </w:tcMar>
          </w:tcPr>
          <w:p>
            <w:pPr>
              <w:jc w:val="left"/>
            </w:pPr>
            <w:r>
              <w:rPr>
                <w:b w:val="false"/>
                <w:bCs w:val="false"/>
                <w:sz w:val="19"/>
                <w:szCs w:val="19"/>
              </w:rPr>
              <w:t xml:space="preserve">1 — Paramètres</w:t>
            </w:r>
          </w:p>
        </w:tc>
        <w:tc>
          <w:tcPr>
            <w:tcW w:type="dxa" w:w="3400"/>
            <w:shd w:fill="FFFFFF" w:val="clear"/>
            <w:tcMar>
              <w:top w:type="dxa" w:w="90"/>
              <w:left w:type="dxa" w:w="130"/>
              <w:bottom w:type="dxa" w:w="90"/>
              <w:right w:type="dxa" w:w="130"/>
            </w:tcMar>
          </w:tcPr>
          <w:p>
            <w:pPr>
              <w:jc w:val="right"/>
            </w:pPr>
            <w:r>
              <w:rPr>
                <w:b w:val="false"/>
                <w:bCs w:val="false"/>
                <w:sz w:val="19"/>
                <w:szCs w:val="19"/>
              </w:rPr>
              <w:t xml:space="preserve">Que demande le client ?</w:t>
            </w:r>
          </w:p>
        </w:tc>
        <w:tc>
          <w:tcPr>
            <w:tcW w:type="dxa" w:w="3960"/>
            <w:shd w:fill="FFFFFF" w:val="clear"/>
            <w:tcMar>
              <w:top w:type="dxa" w:w="90"/>
              <w:left w:type="dxa" w:w="130"/>
              <w:bottom w:type="dxa" w:w="90"/>
              <w:right w:type="dxa" w:w="130"/>
            </w:tcMar>
          </w:tcPr>
          <w:p>
            <w:pPr>
              <w:jc w:val="right"/>
            </w:pPr>
            <w:r>
              <w:rPr>
                <w:b w:val="false"/>
                <w:bCs w:val="false"/>
                <w:sz w:val="19"/>
                <w:szCs w:val="19"/>
              </w:rPr>
              <w:t xml:space="preserve">Contraintes et hypothèses chiffrées</w:t>
            </w:r>
          </w:p>
        </w:tc>
      </w:tr>
      <w:tr>
        <w:tc>
          <w:tcPr>
            <w:tcW w:type="dxa" w:w="2000"/>
            <w:shd w:fill="F7F8FA" w:val="clear"/>
            <w:tcMar>
              <w:top w:type="dxa" w:w="90"/>
              <w:left w:type="dxa" w:w="130"/>
              <w:bottom w:type="dxa" w:w="90"/>
              <w:right w:type="dxa" w:w="130"/>
            </w:tcMar>
          </w:tcPr>
          <w:p>
            <w:pPr>
              <w:jc w:val="left"/>
            </w:pPr>
            <w:r>
              <w:rPr>
                <w:b w:val="false"/>
                <w:bCs w:val="false"/>
                <w:sz w:val="19"/>
                <w:szCs w:val="19"/>
              </w:rPr>
              <w:t xml:space="preserve">2 — Macro</w:t>
            </w:r>
          </w:p>
        </w:tc>
        <w:tc>
          <w:tcPr>
            <w:tcW w:type="dxa" w:w="3400"/>
            <w:shd w:fill="F7F8FA" w:val="clear"/>
            <w:tcMar>
              <w:top w:type="dxa" w:w="90"/>
              <w:left w:type="dxa" w:w="130"/>
              <w:bottom w:type="dxa" w:w="90"/>
              <w:right w:type="dxa" w:w="130"/>
            </w:tcMar>
          </w:tcPr>
          <w:p>
            <w:pPr>
              <w:jc w:val="right"/>
            </w:pPr>
            <w:r>
              <w:rPr>
                <w:b w:val="false"/>
                <w:bCs w:val="false"/>
                <w:sz w:val="19"/>
                <w:szCs w:val="19"/>
              </w:rPr>
              <w:t xml:space="preserve">Où en est l'économie ?</w:t>
            </w:r>
          </w:p>
        </w:tc>
        <w:tc>
          <w:tcPr>
            <w:tcW w:type="dxa" w:w="3960"/>
            <w:shd w:fill="F7F8FA" w:val="clear"/>
            <w:tcMar>
              <w:top w:type="dxa" w:w="90"/>
              <w:left w:type="dxa" w:w="130"/>
              <w:bottom w:type="dxa" w:w="90"/>
              <w:right w:type="dxa" w:w="130"/>
            </w:tcMar>
          </w:tcPr>
          <w:p>
            <w:pPr>
              <w:jc w:val="right"/>
            </w:pPr>
            <w:r>
              <w:rPr>
                <w:b w:val="false"/>
                <w:bCs w:val="false"/>
                <w:sz w:val="19"/>
                <w:szCs w:val="19"/>
              </w:rPr>
              <w:t xml:space="preserve">Un rendement espéré par classe d'actifs</w:t>
            </w:r>
          </w:p>
        </w:tc>
      </w:tr>
      <w:tr>
        <w:tc>
          <w:tcPr>
            <w:tcW w:type="dxa" w:w="2000"/>
            <w:shd w:fill="FFFFFF" w:val="clear"/>
            <w:tcMar>
              <w:top w:type="dxa" w:w="90"/>
              <w:left w:type="dxa" w:w="130"/>
              <w:bottom w:type="dxa" w:w="90"/>
              <w:right w:type="dxa" w:w="130"/>
            </w:tcMar>
          </w:tcPr>
          <w:p>
            <w:pPr>
              <w:jc w:val="left"/>
            </w:pPr>
            <w:r>
              <w:rPr>
                <w:b w:val="false"/>
                <w:bCs w:val="false"/>
                <w:sz w:val="19"/>
                <w:szCs w:val="19"/>
              </w:rPr>
              <w:t xml:space="preserve">3 — Ligne à ligne</w:t>
            </w:r>
          </w:p>
        </w:tc>
        <w:tc>
          <w:tcPr>
            <w:tcW w:type="dxa" w:w="3400"/>
            <w:shd w:fill="FFFFFF" w:val="clear"/>
            <w:tcMar>
              <w:top w:type="dxa" w:w="90"/>
              <w:left w:type="dxa" w:w="130"/>
              <w:bottom w:type="dxa" w:w="90"/>
              <w:right w:type="dxa" w:w="130"/>
            </w:tcMar>
          </w:tcPr>
          <w:p>
            <w:pPr>
              <w:jc w:val="right"/>
            </w:pPr>
            <w:r>
              <w:rPr>
                <w:b w:val="false"/>
                <w:bCs w:val="false"/>
                <w:sz w:val="19"/>
                <w:szCs w:val="19"/>
              </w:rPr>
              <w:t xml:space="preserve">Dans quoi investir ?</w:t>
            </w:r>
          </w:p>
        </w:tc>
        <w:tc>
          <w:tcPr>
            <w:tcW w:type="dxa" w:w="3960"/>
            <w:shd w:fill="FFFFFF" w:val="clear"/>
            <w:tcMar>
              <w:top w:type="dxa" w:w="90"/>
              <w:left w:type="dxa" w:w="130"/>
              <w:bottom w:type="dxa" w:w="90"/>
              <w:right w:type="dxa" w:w="130"/>
            </w:tcMar>
          </w:tcPr>
          <w:p>
            <w:pPr>
              <w:jc w:val="right"/>
            </w:pPr>
            <w:r>
              <w:rPr>
                <w:b w:val="false"/>
                <w:bCs w:val="false"/>
                <w:sz w:val="19"/>
                <w:szCs w:val="19"/>
              </w:rPr>
              <w:t xml:space="preserve">Un support par classe</w:t>
            </w:r>
          </w:p>
        </w:tc>
      </w:tr>
      <w:tr>
        <w:tc>
          <w:tcPr>
            <w:tcW w:type="dxa" w:w="2000"/>
            <w:shd w:fill="F7F8FA" w:val="clear"/>
            <w:tcMar>
              <w:top w:type="dxa" w:w="90"/>
              <w:left w:type="dxa" w:w="130"/>
              <w:bottom w:type="dxa" w:w="90"/>
              <w:right w:type="dxa" w:w="130"/>
            </w:tcMar>
          </w:tcPr>
          <w:p>
            <w:pPr>
              <w:jc w:val="left"/>
            </w:pPr>
            <w:r>
              <w:rPr>
                <w:b w:val="false"/>
                <w:bCs w:val="false"/>
                <w:sz w:val="19"/>
                <w:szCs w:val="19"/>
              </w:rPr>
              <w:t xml:space="preserve">4 — Allocation</w:t>
            </w:r>
          </w:p>
        </w:tc>
        <w:tc>
          <w:tcPr>
            <w:tcW w:type="dxa" w:w="3400"/>
            <w:shd w:fill="F7F8FA" w:val="clear"/>
            <w:tcMar>
              <w:top w:type="dxa" w:w="90"/>
              <w:left w:type="dxa" w:w="130"/>
              <w:bottom w:type="dxa" w:w="90"/>
              <w:right w:type="dxa" w:w="130"/>
            </w:tcMar>
          </w:tcPr>
          <w:p>
            <w:pPr>
              <w:jc w:val="right"/>
            </w:pPr>
            <w:r>
              <w:rPr>
                <w:b w:val="false"/>
                <w:bCs w:val="false"/>
                <w:sz w:val="19"/>
                <w:szCs w:val="19"/>
              </w:rPr>
              <w:t xml:space="preserve">Combien sur chacun ?</w:t>
            </w:r>
          </w:p>
        </w:tc>
        <w:tc>
          <w:tcPr>
            <w:tcW w:type="dxa" w:w="3960"/>
            <w:shd w:fill="F7F8FA" w:val="clear"/>
            <w:tcMar>
              <w:top w:type="dxa" w:w="90"/>
              <w:left w:type="dxa" w:w="130"/>
              <w:bottom w:type="dxa" w:w="90"/>
              <w:right w:type="dxa" w:w="130"/>
            </w:tcMar>
          </w:tcPr>
          <w:p>
            <w:pPr>
              <w:jc w:val="right"/>
            </w:pPr>
            <w:r>
              <w:rPr>
                <w:b w:val="false"/>
                <w:bCs w:val="false"/>
                <w:sz w:val="19"/>
                <w:szCs w:val="19"/>
              </w:rPr>
              <w:t xml:space="preserve">Le portefeuille en millions d'euros</w:t>
            </w:r>
          </w:p>
        </w:tc>
      </w:tr>
      <w:tr>
        <w:tc>
          <w:tcPr>
            <w:tcW w:type="dxa" w:w="2000"/>
            <w:shd w:fill="FFFFFF" w:val="clear"/>
            <w:tcMar>
              <w:top w:type="dxa" w:w="90"/>
              <w:left w:type="dxa" w:w="130"/>
              <w:bottom w:type="dxa" w:w="90"/>
              <w:right w:type="dxa" w:w="130"/>
            </w:tcMar>
          </w:tcPr>
          <w:p>
            <w:pPr>
              <w:jc w:val="left"/>
            </w:pPr>
            <w:r>
              <w:rPr>
                <w:b w:val="false"/>
                <w:bCs w:val="false"/>
                <w:sz w:val="19"/>
                <w:szCs w:val="19"/>
              </w:rPr>
              <w:t xml:space="preserve">5 — Backtests</w:t>
            </w:r>
          </w:p>
        </w:tc>
        <w:tc>
          <w:tcPr>
            <w:tcW w:type="dxa" w:w="3400"/>
            <w:shd w:fill="FFFFFF" w:val="clear"/>
            <w:tcMar>
              <w:top w:type="dxa" w:w="90"/>
              <w:left w:type="dxa" w:w="130"/>
              <w:bottom w:type="dxa" w:w="90"/>
              <w:right w:type="dxa" w:w="130"/>
            </w:tcMar>
          </w:tcPr>
          <w:p>
            <w:pPr>
              <w:jc w:val="right"/>
            </w:pPr>
            <w:r>
              <w:rPr>
                <w:b w:val="false"/>
                <w:bCs w:val="false"/>
                <w:sz w:val="19"/>
                <w:szCs w:val="19"/>
              </w:rPr>
              <w:t xml:space="preserve">Aurait-il tenu ?</w:t>
            </w:r>
          </w:p>
        </w:tc>
        <w:tc>
          <w:tcPr>
            <w:tcW w:type="dxa" w:w="3960"/>
            <w:shd w:fill="FFFFFF" w:val="clear"/>
            <w:tcMar>
              <w:top w:type="dxa" w:w="90"/>
              <w:left w:type="dxa" w:w="130"/>
              <w:bottom w:type="dxa" w:w="90"/>
              <w:right w:type="dxa" w:w="130"/>
            </w:tcMar>
          </w:tcPr>
          <w:p>
            <w:pPr>
              <w:jc w:val="right"/>
            </w:pPr>
            <w:r>
              <w:rPr>
                <w:b w:val="false"/>
                <w:bCs w:val="false"/>
                <w:sz w:val="19"/>
                <w:szCs w:val="19"/>
              </w:rPr>
              <w:t xml:space="preserve">Durée des baisses, mauvaise année</w:t>
            </w:r>
          </w:p>
        </w:tc>
      </w:tr>
    </w:tbl>
    <w:p>
      <w:pPr>
        <w:spacing w:after="160"/>
      </w:pPr>
    </w:p>
    <w:p>
      <w:pPr>
        <w:spacing w:after="120" w:line="276"/>
        <w:jc w:val="both"/>
      </w:pPr>
      <w:r>
        <w:rPr>
          <w:b w:val="false"/>
          <w:bCs w:val="false"/>
        </w:rPr>
        <w:t xml:space="preserve">C'est le processus d'un fonds multi-actifs. La version précédente du dossier juxtaposait neuf onglets sans ordre lisible ; c'est le reproche principal auquel cette architecture répond.</w:t>
      </w:r>
    </w:p>
    <w:tbl>
      <w:tblPr>
        <w:tblW w:type="dxa" w:w="9360"/>
        <w:tblBorders>
          <w:top w:val="single" w:color="C9CFD6" w:sz="2"/>
          <w:left w:val="single" w:color="14304F" w:sz="12"/>
          <w:bottom w:val="single" w:color="C9CFD6" w:sz="2"/>
          <w:right w:val="single" w:color="C9CFD6" w:sz="2"/>
          <w:insideH w:val="none"/>
          <w:insideV w:val="none"/>
        </w:tblBorders>
      </w:tblPr>
      <w:tblGrid>
        <w:gridCol w:w="9360"/>
      </w:tblGrid>
      <w:tr>
        <w:tc>
          <w:tcPr>
            <w:tcW w:type="dxa" w:w="9360"/>
            <w:shd w:fill="F2F4F7" w:val="clear"/>
            <w:tcMar>
              <w:top w:type="dxa" w:w="160"/>
              <w:left w:type="dxa" w:w="200"/>
              <w:bottom w:type="dxa" w:w="160"/>
              <w:right w:type="dxa" w:w="200"/>
            </w:tcMar>
          </w:tcPr>
          <w:p>
            <w:pPr>
              <w:spacing w:after="80"/>
            </w:pPr>
            <w:r>
              <w:rPr>
                <w:b/>
                <w:bCs/>
                <w:color w:val="14304F"/>
              </w:rPr>
              <w:t xml:space="preserve">Principe de calcul, à savoir si on vous interroge sur l'outil</w:t>
            </w:r>
          </w:p>
          <w:p>
            <w:pPr>
              <w:spacing w:after="120" w:line="276"/>
              <w:jc w:val="both"/>
            </w:pPr>
            <w:r>
              <w:rPr>
                <w:b w:val="false"/>
                <w:bCs w:val="false"/>
              </w:rPr>
              <w:t xml:space="preserve">L'application </w:t>
            </w:r>
            <w:r>
              <w:rPr>
                <w:b/>
                <w:bCs/>
              </w:rPr>
              <w:t xml:space="preserve">lit</w:t>
            </w:r>
            <w:r>
              <w:rPr>
                <w:b w:val="false"/>
                <w:bCs w:val="false"/>
              </w:rPr>
              <w:t xml:space="preserve"> des résultats calculés hors ligne (fichiers `data/`) plutôt que de les recalculer : l'optimisation prend une dizaine de minutes. Ce qui se recalcule en direct le fait sur des formules fermées, donc instantanément.</w:t>
            </w:r>
          </w:p>
          <w:p>
            <w:pPr>
              <w:spacing w:after="120" w:line="276"/>
              <w:jc w:val="both"/>
            </w:pPr>
            <w:r>
              <w:rPr>
                <w:b w:val="false"/>
                <w:bCs w:val="false"/>
              </w:rPr>
              <w:t xml:space="preserve">Conséquence : l'application ne peut pas mentir sur ses chiffres sans qu'on le voie dans le dépôt. Chaque fichier de données porte la date de son relevé.</w:t>
            </w:r>
          </w:p>
        </w:tc>
      </w:tr>
    </w:tbl>
    <w:p>
      <w:r>
        <w:br w:type="page"/>
      </w:r>
    </w:p>
    <w:p>
      <w:pPr>
        <w:pStyle w:val="Heading1"/>
        <w:spacing w:after="160" w:before="360"/>
      </w:pPr>
      <w:r>
        <w:t xml:space="preserve">3. Étape 2 — D'où viennent les rendements espérés</w:t>
      </w:r>
    </w:p>
    <w:p>
      <w:pPr>
        <w:spacing w:after="120" w:line="276"/>
        <w:jc w:val="both"/>
      </w:pPr>
      <w:r>
        <w:rPr>
          <w:b w:val="false"/>
          <w:bCs w:val="false"/>
        </w:rPr>
        <w:t xml:space="preserve">C'est le cœur technique du dossier, et la première chose qu'un jury attaquera. Le principe général : </w:t>
      </w:r>
      <w:r>
        <w:rPr>
          <w:b/>
          <w:bCs/>
        </w:rPr>
        <w:t xml:space="preserve">on n'a rien prévu.</w:t>
      </w:r>
      <w:r>
        <w:rPr>
          <w:b w:val="false"/>
          <w:bCs w:val="false"/>
        </w:rPr>
        <w:t xml:space="preserve"> Aucune prévision macroéconomique n'entre dans ces chiffres. Chaque rendement espéré est soit un taux lu sur le marché, soit une valorisation traduite en rendement, soit une hypothèse explicitement identifiée comme telle.</w:t>
      </w:r>
    </w:p>
    <w:p>
      <w:pPr>
        <w:pStyle w:val="Heading2"/>
        <w:spacing w:after="120" w:before="280"/>
      </w:pPr>
      <w:r>
        <w:t xml:space="preserve">3.1 Les obligations : on lit, on ne prévoit pas</w:t>
      </w:r>
    </w:p>
    <w:p>
      <w:pPr>
        <w:spacing w:after="120" w:line="276"/>
        <w:jc w:val="both"/>
      </w:pPr>
      <w:r>
        <w:rPr>
          <w:b w:val="false"/>
          <w:bCs w:val="false"/>
        </w:rPr>
        <w:t xml:space="preserve">Pour une obligation portée jusqu'à l'échéance, le rendement à maturité </w:t>
      </w:r>
      <w:r>
        <w:rPr>
          <w:b/>
          <w:bCs/>
        </w:rPr>
        <w:t xml:space="preserve">est</w:t>
      </w:r>
      <w:r>
        <w:rPr>
          <w:b w:val="false"/>
          <w:bCs w:val="false"/>
        </w:rPr>
        <w:t xml:space="preserve"> le rendement attendu, aux défauts près. Il n'y a donc rien à modéliser : on lit la courbe.</w:t>
      </w:r>
    </w:p>
    <w:p>
      <w:pPr>
        <w:pStyle w:val="ListParagraph"/>
        <w:numPr>
          <w:ilvl w:val="0"/>
          <w:numId w:val="2"/>
        </w:numPr>
        <w:spacing w:after="80" w:line="276"/>
      </w:pPr>
      <w:r>
        <w:rPr>
          <w:b w:val="false"/>
          <w:bCs w:val="false"/>
        </w:rPr>
        <w:t xml:space="preserve"/>
      </w:r>
      <w:r>
        <w:rPr>
          <w:b/>
          <w:bCs/>
        </w:rPr>
        <w:t xml:space="preserve">Monétaire</w:t>
      </w:r>
      <w:r>
        <w:rPr>
          <w:b w:val="false"/>
          <w:bCs w:val="false"/>
        </w:rPr>
        <w:t xml:space="preserve"> : taux €STR du jour, 2,44 %. Réserve : si 4 % d'inflation s'installait durablement, ce taux monterait ; ce supplément n'est pas compté.</w:t>
      </w:r>
    </w:p>
    <w:p>
      <w:pPr>
        <w:pStyle w:val="ListParagraph"/>
        <w:numPr>
          <w:ilvl w:val="0"/>
          <w:numId w:val="2"/>
        </w:numPr>
        <w:spacing w:after="80" w:line="276"/>
      </w:pPr>
      <w:r>
        <w:rPr>
          <w:b w:val="false"/>
          <w:bCs w:val="false"/>
        </w:rPr>
        <w:t xml:space="preserve"/>
      </w:r>
      <w:r>
        <w:rPr>
          <w:b/>
          <w:bCs/>
        </w:rPr>
        <w:t xml:space="preserve">États zone euro</w:t>
      </w:r>
      <w:r>
        <w:rPr>
          <w:b w:val="false"/>
          <w:bCs w:val="false"/>
        </w:rPr>
        <w:t xml:space="preserve"> : courbe zéro-coupon de la BCE, modèle de Svensson à six paramètres, publiée quotidiennement. On </w:t>
      </w:r>
      <w:r>
        <w:rPr>
          <w:b/>
          <w:bCs/>
        </w:rPr>
        <w:t xml:space="preserve">price</w:t>
      </w:r>
      <w:r>
        <w:rPr>
          <w:b w:val="false"/>
          <w:bCs w:val="false"/>
        </w:rPr>
        <w:t xml:space="preserve"> l'obligation plutôt que d'en chercher une cotation, faute de source fiable et gratuite sur les lignes nommées. La formule redonne les taux publiés à 0,0005 point près (vérifié le 18/09/2026).</w:t>
      </w:r>
    </w:p>
    <w:p>
      <w:pPr>
        <w:pStyle w:val="ListParagraph"/>
        <w:numPr>
          <w:ilvl w:val="0"/>
          <w:numId w:val="2"/>
        </w:numPr>
        <w:spacing w:after="80" w:line="276"/>
      </w:pPr>
      <w:r>
        <w:rPr>
          <w:b w:val="false"/>
          <w:bCs w:val="false"/>
        </w:rPr>
        <w:t xml:space="preserve"/>
      </w:r>
      <w:r>
        <w:rPr>
          <w:b/>
          <w:bCs/>
        </w:rPr>
        <w:t xml:space="preserve">Crédit euro bien noté</w:t>
      </w:r>
      <w:r>
        <w:rPr>
          <w:b w:val="false"/>
          <w:bCs w:val="false"/>
        </w:rPr>
        <w:t xml:space="preserve"> : rendement du fonds retenu, moins les pertes sur défauts estimées d'après l'historique Moody's, soit 3,50 − 0,11 = 3,39 %.</w:t>
      </w:r>
    </w:p>
    <w:p>
      <w:pPr>
        <w:pStyle w:val="ListParagraph"/>
        <w:numPr>
          <w:ilvl w:val="0"/>
          <w:numId w:val="2"/>
        </w:numPr>
        <w:spacing w:after="80" w:line="276"/>
      </w:pPr>
      <w:r>
        <w:rPr>
          <w:b w:val="false"/>
          <w:bCs w:val="false"/>
        </w:rPr>
        <w:t xml:space="preserve"/>
      </w:r>
      <w:r>
        <w:rPr>
          <w:b/>
          <w:bCs/>
        </w:rPr>
        <w:t xml:space="preserve">Obligations indexées</w:t>
      </w:r>
      <w:r>
        <w:rPr>
          <w:b w:val="false"/>
          <w:bCs w:val="false"/>
        </w:rPr>
        <w:t xml:space="preserve"> : taux réel mesuré sur le marché (1,43 %) plus l'inflation de l'énoncé (4 %), soit 5,43 %. Ce sont les seules qui suivent l'inflation par construction.</w:t>
      </w:r>
    </w:p>
    <w:tbl>
      <w:tblPr>
        <w:tblW w:type="dxa" w:w="9360"/>
        <w:tblBorders>
          <w:top w:val="single" w:color="C9CFD6" w:sz="2"/>
          <w:left w:val="single" w:color="14304F" w:sz="12"/>
          <w:bottom w:val="single" w:color="C9CFD6" w:sz="2"/>
          <w:right w:val="single" w:color="C9CFD6" w:sz="2"/>
          <w:insideH w:val="none"/>
          <w:insideV w:val="none"/>
        </w:tblBorders>
      </w:tblPr>
      <w:tblGrid>
        <w:gridCol w:w="9360"/>
      </w:tblGrid>
      <w:tr>
        <w:tc>
          <w:tcPr>
            <w:tcW w:type="dxa" w:w="9360"/>
            <w:shd w:fill="F2F4F7" w:val="clear"/>
            <w:tcMar>
              <w:top w:type="dxa" w:w="160"/>
              <w:left w:type="dxa" w:w="200"/>
              <w:bottom w:type="dxa" w:w="160"/>
              <w:right w:type="dxa" w:w="200"/>
            </w:tcMar>
          </w:tcPr>
          <w:p>
            <w:pPr>
              <w:spacing w:after="80"/>
            </w:pPr>
            <w:r>
              <w:rPr>
                <w:b/>
                <w:bCs/>
                <w:color w:val="14304F"/>
              </w:rPr>
              <w:t xml:space="preserve">Le point de méthode le plus important de l'étape 2</w:t>
            </w:r>
          </w:p>
          <w:p>
            <w:pPr>
              <w:spacing w:after="120" w:line="276"/>
              <w:jc w:val="both"/>
            </w:pPr>
            <w:r>
              <w:rPr>
                <w:b w:val="false"/>
                <w:bCs w:val="false"/>
              </w:rPr>
              <w:t xml:space="preserve">Le seuil à battre (4 %) est formulé dans un monde à 4 % d'inflation. Les rendements espérés doivent donc l'être aussi, sinon on compare une exigence d'un monde à une performance d'un autre. </w:t>
            </w:r>
            <w:r>
              <w:rPr>
                <w:b/>
                <w:bCs/>
              </w:rPr>
              <w:t xml:space="preserve">Toutes les classes sont donc ramenées à un régime d'inflation de 4 %.</w:t>
            </w:r>
            <w:r>
              <w:rPr>
                <w:b w:val="false"/>
                <w:bCs w:val="false"/>
              </w:rPr>
              <w:t xml:space="preserve"/>
            </w:r>
          </w:p>
          <w:p>
            <w:pPr>
              <w:spacing w:after="120" w:line="276"/>
              <w:jc w:val="both"/>
            </w:pPr>
            <w:r>
              <w:rPr>
                <w:b w:val="false"/>
                <w:bCs w:val="false"/>
              </w:rPr>
              <w:t xml:space="preserve">Une version antérieure du dossier comparait un seuil bâti sur 4 % d'inflation à des rendements bâtis implicitement sur 2 %. Le mandat paraissait alors beaucoup plus difficile qu'il ne l'est. C'est la correction la plus importante de tout le projet.</w:t>
            </w:r>
          </w:p>
        </w:tc>
      </w:tr>
    </w:tbl>
    <w:p>
      <w:pPr>
        <w:pStyle w:val="Heading2"/>
        <w:spacing w:after="120" w:before="280"/>
      </w:pPr>
      <w:r>
        <w:t xml:space="preserve">3.2 Les actions : deux méthodes, moyennées</w:t>
      </w:r>
    </w:p>
    <w:p>
      <w:pPr>
        <w:spacing w:after="120" w:line="276"/>
        <w:jc w:val="both"/>
      </w:pPr>
      <w:r>
        <w:rPr>
          <w:b w:val="false"/>
          <w:bCs w:val="false"/>
        </w:rPr>
        <w:t xml:space="preserve">Aucune prévision de bénéfices, aucun modèle de croissance par zone. On part du prix payé aujourd'hui.</w:t>
      </w:r>
    </w:p>
    <w:p>
      <w:pPr>
        <w:pStyle w:val="Heading3"/>
        <w:spacing w:after="100" w:before="200"/>
      </w:pPr>
      <w:r>
        <w:t xml:space="preserve">Méthode 1 — par les bénéfices</w:t>
      </w:r>
    </w:p>
    <w:p>
      <w:pPr>
        <w:spacing w:after="120" w:line="276"/>
        <w:jc w:val="both"/>
      </w:pPr>
      <w:r>
        <w:rPr>
          <w:b w:val="false"/>
          <w:bCs w:val="false"/>
        </w:rPr>
        <w:t xml:space="preserve">Rendement réel ≈ 1 / PER. À un PER de 20, on achète 5 % de bénéfices par an. Sur longue période, c'est une bonne estimation du rendement au-delà de l'inflation.</w:t>
      </w:r>
    </w:p>
    <w:p>
      <w:pPr>
        <w:pStyle w:val="Heading3"/>
        <w:spacing w:after="100" w:before="200"/>
      </w:pPr>
      <w:r>
        <w:t xml:space="preserve">Méthode 2 — par le dividende et la croissance</w:t>
      </w:r>
    </w:p>
    <w:p>
      <w:pPr>
        <w:spacing w:after="120" w:line="276"/>
        <w:jc w:val="both"/>
      </w:pPr>
      <w:r>
        <w:rPr>
          <w:b w:val="false"/>
          <w:bCs w:val="false"/>
        </w:rPr>
        <w:t xml:space="preserve">Rendement réel ≈ dividende + croissance réelle des bénéfices. La croissance retenue est </w:t>
      </w:r>
      <w:r>
        <w:rPr>
          <w:b/>
          <w:bCs/>
        </w:rPr>
        <w:t xml:space="preserve">2,0 % par an, la même pour toutes les zones</w:t>
      </w:r>
      <w:r>
        <w:rPr>
          <w:b w:val="false"/>
          <w:bCs w:val="false"/>
        </w:rPr>
        <w:t xml:space="preserve"> : c'est la croissance réelle des bénéfices du S&amp;P 500 depuis 1900 (Shiller).</w:t>
      </w:r>
    </w:p>
    <w:p>
      <w:pPr>
        <w:spacing w:after="120" w:line="276"/>
        <w:jc w:val="both"/>
      </w:pPr>
      <w:r>
        <w:rPr>
          <w:b w:val="false"/>
          <w:bCs w:val="false"/>
        </w:rPr>
        <w:t xml:space="preserve">Rendement espéré = moyenne des deux, plus 4 % d'inflation — les entreprises répercutant la hausse des prix dans leurs bénéfices.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000"/>
        <w:gridCol w:w="1200"/>
        <w:gridCol w:w="1400"/>
        <w:gridCol w:w="1400"/>
        <w:gridCol w:w="1660"/>
      </w:tblGrid>
      <w:tr>
        <w:trPr>
          <w:tblHeader/>
        </w:trPr>
        <w:tc>
          <w:tcPr>
            <w:tcW w:type="dxa" w:w="2700"/>
            <w:shd w:fill="14304F" w:val="clear"/>
            <w:tcMar>
              <w:top w:type="dxa" w:w="90"/>
              <w:left w:type="dxa" w:w="130"/>
              <w:bottom w:type="dxa" w:w="90"/>
              <w:right w:type="dxa" w:w="130"/>
            </w:tcMar>
          </w:tcPr>
          <w:p>
            <w:pPr>
              <w:jc w:val="left"/>
            </w:pPr>
            <w:r>
              <w:rPr>
                <w:b/>
                <w:bCs/>
                <w:color w:val="FFFFFF"/>
                <w:sz w:val="19"/>
                <w:szCs w:val="19"/>
              </w:rPr>
              <w:t xml:space="preserve">Classe</w:t>
            </w:r>
          </w:p>
        </w:tc>
        <w:tc>
          <w:tcPr>
            <w:tcW w:type="dxa" w:w="1000"/>
            <w:shd w:fill="14304F" w:val="clear"/>
            <w:tcMar>
              <w:top w:type="dxa" w:w="90"/>
              <w:left w:type="dxa" w:w="130"/>
              <w:bottom w:type="dxa" w:w="90"/>
              <w:right w:type="dxa" w:w="130"/>
            </w:tcMar>
          </w:tcPr>
          <w:p>
            <w:pPr>
              <w:jc w:val="right"/>
            </w:pPr>
            <w:r>
              <w:rPr>
                <w:b/>
                <w:bCs/>
                <w:color w:val="FFFFFF"/>
                <w:sz w:val="19"/>
                <w:szCs w:val="19"/>
              </w:rPr>
              <w:t xml:space="preserve">PER</w:t>
            </w:r>
          </w:p>
        </w:tc>
        <w:tc>
          <w:tcPr>
            <w:tcW w:type="dxa" w:w="1200"/>
            <w:shd w:fill="14304F" w:val="clear"/>
            <w:tcMar>
              <w:top w:type="dxa" w:w="90"/>
              <w:left w:type="dxa" w:w="130"/>
              <w:bottom w:type="dxa" w:w="90"/>
              <w:right w:type="dxa" w:w="130"/>
            </w:tcMar>
          </w:tcPr>
          <w:p>
            <w:pPr>
              <w:jc w:val="right"/>
            </w:pPr>
            <w:r>
              <w:rPr>
                <w:b/>
                <w:bCs/>
                <w:color w:val="FFFFFF"/>
                <w:sz w:val="19"/>
                <w:szCs w:val="19"/>
              </w:rPr>
              <w:t xml:space="preserve">Div.</w:t>
            </w:r>
          </w:p>
        </w:tc>
        <w:tc>
          <w:tcPr>
            <w:tcW w:type="dxa" w:w="1400"/>
            <w:shd w:fill="14304F" w:val="clear"/>
            <w:tcMar>
              <w:top w:type="dxa" w:w="90"/>
              <w:left w:type="dxa" w:w="130"/>
              <w:bottom w:type="dxa" w:w="90"/>
              <w:right w:type="dxa" w:w="130"/>
            </w:tcMar>
          </w:tcPr>
          <w:p>
            <w:pPr>
              <w:jc w:val="right"/>
            </w:pPr>
            <w:r>
              <w:rPr>
                <w:b/>
                <w:bCs/>
                <w:color w:val="FFFFFF"/>
                <w:sz w:val="19"/>
                <w:szCs w:val="19"/>
              </w:rPr>
              <w:t xml:space="preserve">Réel M1</w:t>
            </w:r>
          </w:p>
        </w:tc>
        <w:tc>
          <w:tcPr>
            <w:tcW w:type="dxa" w:w="1400"/>
            <w:shd w:fill="14304F" w:val="clear"/>
            <w:tcMar>
              <w:top w:type="dxa" w:w="90"/>
              <w:left w:type="dxa" w:w="130"/>
              <w:bottom w:type="dxa" w:w="90"/>
              <w:right w:type="dxa" w:w="130"/>
            </w:tcMar>
          </w:tcPr>
          <w:p>
            <w:pPr>
              <w:jc w:val="right"/>
            </w:pPr>
            <w:r>
              <w:rPr>
                <w:b/>
                <w:bCs/>
                <w:color w:val="FFFFFF"/>
                <w:sz w:val="19"/>
                <w:szCs w:val="19"/>
              </w:rPr>
              <w:t xml:space="preserve">Réel M2</w:t>
            </w:r>
          </w:p>
        </w:tc>
        <w:tc>
          <w:tcPr>
            <w:tcW w:type="dxa" w:w="1660"/>
            <w:shd w:fill="14304F" w:val="clear"/>
            <w:tcMar>
              <w:top w:type="dxa" w:w="90"/>
              <w:left w:type="dxa" w:w="130"/>
              <w:bottom w:type="dxa" w:w="90"/>
              <w:right w:type="dxa" w:w="130"/>
            </w:tcMar>
          </w:tcPr>
          <w:p>
            <w:pPr>
              <w:jc w:val="right"/>
            </w:pPr>
            <w:r>
              <w:rPr>
                <w:b/>
                <w:bCs/>
                <w:color w:val="FFFFFF"/>
                <w:sz w:val="19"/>
                <w:szCs w:val="19"/>
              </w:rPr>
              <w:t xml:space="preserve">Espéré</w:t>
            </w:r>
          </w:p>
        </w:tc>
      </w:tr>
      <w:tr>
        <w:tc>
          <w:tcPr>
            <w:tcW w:type="dxa" w:w="2700"/>
            <w:shd w:fill="FFFFFF" w:val="clear"/>
            <w:tcMar>
              <w:top w:type="dxa" w:w="90"/>
              <w:left w:type="dxa" w:w="130"/>
              <w:bottom w:type="dxa" w:w="90"/>
              <w:right w:type="dxa" w:w="130"/>
            </w:tcMar>
          </w:tcPr>
          <w:p>
            <w:pPr>
              <w:jc w:val="left"/>
            </w:pPr>
            <w:r>
              <w:rPr>
                <w:b w:val="false"/>
                <w:bCs w:val="false"/>
                <w:sz w:val="19"/>
                <w:szCs w:val="19"/>
              </w:rPr>
              <w:t xml:space="preserve">Actions européennes</w:t>
            </w:r>
          </w:p>
        </w:tc>
        <w:tc>
          <w:tcPr>
            <w:tcW w:type="dxa" w:w="1000"/>
            <w:shd w:fill="FFFFFF" w:val="clear"/>
            <w:tcMar>
              <w:top w:type="dxa" w:w="90"/>
              <w:left w:type="dxa" w:w="130"/>
              <w:bottom w:type="dxa" w:w="90"/>
              <w:right w:type="dxa" w:w="130"/>
            </w:tcMar>
          </w:tcPr>
          <w:p>
            <w:pPr>
              <w:jc w:val="right"/>
            </w:pPr>
            <w:r>
              <w:rPr>
                <w:b w:val="false"/>
                <w:bCs w:val="false"/>
                <w:sz w:val="19"/>
                <w:szCs w:val="19"/>
              </w:rPr>
              <w:t xml:space="preserve">18,5</w:t>
            </w:r>
          </w:p>
        </w:tc>
        <w:tc>
          <w:tcPr>
            <w:tcW w:type="dxa" w:w="1200"/>
            <w:shd w:fill="FFFFFF" w:val="clear"/>
            <w:tcMar>
              <w:top w:type="dxa" w:w="90"/>
              <w:left w:type="dxa" w:w="130"/>
              <w:bottom w:type="dxa" w:w="90"/>
              <w:right w:type="dxa" w:w="130"/>
            </w:tcMar>
          </w:tcPr>
          <w:p>
            <w:pPr>
              <w:jc w:val="right"/>
            </w:pPr>
            <w:r>
              <w:rPr>
                <w:b w:val="false"/>
                <w:bCs w:val="false"/>
                <w:sz w:val="19"/>
                <w:szCs w:val="19"/>
              </w:rPr>
              <w:t xml:space="preserve">3,07 %</w:t>
            </w:r>
          </w:p>
        </w:tc>
        <w:tc>
          <w:tcPr>
            <w:tcW w:type="dxa" w:w="1400"/>
            <w:shd w:fill="FFFFFF" w:val="clear"/>
            <w:tcMar>
              <w:top w:type="dxa" w:w="90"/>
              <w:left w:type="dxa" w:w="130"/>
              <w:bottom w:type="dxa" w:w="90"/>
              <w:right w:type="dxa" w:w="130"/>
            </w:tcMar>
          </w:tcPr>
          <w:p>
            <w:pPr>
              <w:jc w:val="right"/>
            </w:pPr>
            <w:r>
              <w:rPr>
                <w:b w:val="false"/>
                <w:bCs w:val="false"/>
                <w:sz w:val="19"/>
                <w:szCs w:val="19"/>
              </w:rPr>
              <w:t xml:space="preserve">5,41 %</w:t>
            </w:r>
          </w:p>
        </w:tc>
        <w:tc>
          <w:tcPr>
            <w:tcW w:type="dxa" w:w="1400"/>
            <w:shd w:fill="FFFFFF" w:val="clear"/>
            <w:tcMar>
              <w:top w:type="dxa" w:w="90"/>
              <w:left w:type="dxa" w:w="130"/>
              <w:bottom w:type="dxa" w:w="90"/>
              <w:right w:type="dxa" w:w="130"/>
            </w:tcMar>
          </w:tcPr>
          <w:p>
            <w:pPr>
              <w:jc w:val="right"/>
            </w:pPr>
            <w:r>
              <w:rPr>
                <w:b w:val="false"/>
                <w:bCs w:val="false"/>
                <w:sz w:val="19"/>
                <w:szCs w:val="19"/>
              </w:rPr>
              <w:t xml:space="preserve">5,05 %</w:t>
            </w:r>
          </w:p>
        </w:tc>
        <w:tc>
          <w:tcPr>
            <w:tcW w:type="dxa" w:w="1660"/>
            <w:shd w:fill="FFFFFF" w:val="clear"/>
            <w:tcMar>
              <w:top w:type="dxa" w:w="90"/>
              <w:left w:type="dxa" w:w="130"/>
              <w:bottom w:type="dxa" w:w="90"/>
              <w:right w:type="dxa" w:w="130"/>
            </w:tcMar>
          </w:tcPr>
          <w:p>
            <w:pPr>
              <w:jc w:val="right"/>
            </w:pPr>
            <w:r>
              <w:rPr>
                <w:b w:val="false"/>
                <w:bCs w:val="false"/>
                <w:sz w:val="19"/>
                <w:szCs w:val="19"/>
              </w:rPr>
              <w:t xml:space="preserve"/>
            </w:r>
            <w:r>
              <w:rPr>
                <w:b/>
                <w:bCs/>
                <w:sz w:val="19"/>
                <w:szCs w:val="19"/>
              </w:rPr>
              <w:t xml:space="preserve">9,23 %</w:t>
            </w:r>
            <w:r>
              <w:rPr>
                <w:b w:val="false"/>
                <w:bCs w:val="false"/>
                <w:sz w:val="19"/>
                <w:szCs w:val="19"/>
              </w:rPr>
              <w:t xml:space="preserve"/>
            </w:r>
          </w:p>
        </w:tc>
      </w:tr>
      <w:tr>
        <w:tc>
          <w:tcPr>
            <w:tcW w:type="dxa" w:w="2700"/>
            <w:shd w:fill="F7F8FA" w:val="clear"/>
            <w:tcMar>
              <w:top w:type="dxa" w:w="90"/>
              <w:left w:type="dxa" w:w="130"/>
              <w:bottom w:type="dxa" w:w="90"/>
              <w:right w:type="dxa" w:w="130"/>
            </w:tcMar>
          </w:tcPr>
          <w:p>
            <w:pPr>
              <w:jc w:val="left"/>
            </w:pPr>
            <w:r>
              <w:rPr>
                <w:b w:val="false"/>
                <w:bCs w:val="false"/>
                <w:sz w:val="19"/>
                <w:szCs w:val="19"/>
              </w:rPr>
              <w:t xml:space="preserve">Actions américaines</w:t>
            </w:r>
          </w:p>
        </w:tc>
        <w:tc>
          <w:tcPr>
            <w:tcW w:type="dxa" w:w="1000"/>
            <w:shd w:fill="F7F8FA" w:val="clear"/>
            <w:tcMar>
              <w:top w:type="dxa" w:w="90"/>
              <w:left w:type="dxa" w:w="130"/>
              <w:bottom w:type="dxa" w:w="90"/>
              <w:right w:type="dxa" w:w="130"/>
            </w:tcMar>
          </w:tcPr>
          <w:p>
            <w:pPr>
              <w:jc w:val="right"/>
            </w:pPr>
            <w:r>
              <w:rPr>
                <w:b w:val="false"/>
                <w:bCs w:val="false"/>
                <w:sz w:val="19"/>
                <w:szCs w:val="19"/>
              </w:rPr>
              <w:t xml:space="preserve">30,0</w:t>
            </w:r>
          </w:p>
        </w:tc>
        <w:tc>
          <w:tcPr>
            <w:tcW w:type="dxa" w:w="1200"/>
            <w:shd w:fill="F7F8FA" w:val="clear"/>
            <w:tcMar>
              <w:top w:type="dxa" w:w="90"/>
              <w:left w:type="dxa" w:w="130"/>
              <w:bottom w:type="dxa" w:w="90"/>
              <w:right w:type="dxa" w:w="130"/>
            </w:tcMar>
          </w:tcPr>
          <w:p>
            <w:pPr>
              <w:jc w:val="right"/>
            </w:pPr>
            <w:r>
              <w:rPr>
                <w:b w:val="false"/>
                <w:bCs w:val="false"/>
                <w:sz w:val="19"/>
                <w:szCs w:val="19"/>
              </w:rPr>
              <w:t xml:space="preserve">1,06 %</w:t>
            </w:r>
          </w:p>
        </w:tc>
        <w:tc>
          <w:tcPr>
            <w:tcW w:type="dxa" w:w="1400"/>
            <w:shd w:fill="F7F8FA" w:val="clear"/>
            <w:tcMar>
              <w:top w:type="dxa" w:w="90"/>
              <w:left w:type="dxa" w:w="130"/>
              <w:bottom w:type="dxa" w:w="90"/>
              <w:right w:type="dxa" w:w="130"/>
            </w:tcMar>
          </w:tcPr>
          <w:p>
            <w:pPr>
              <w:jc w:val="right"/>
            </w:pPr>
            <w:r>
              <w:rPr>
                <w:b w:val="false"/>
                <w:bCs w:val="false"/>
                <w:sz w:val="19"/>
                <w:szCs w:val="19"/>
              </w:rPr>
              <w:t xml:space="preserve">3,33 %</w:t>
            </w:r>
          </w:p>
        </w:tc>
        <w:tc>
          <w:tcPr>
            <w:tcW w:type="dxa" w:w="1400"/>
            <w:shd w:fill="F7F8FA" w:val="clear"/>
            <w:tcMar>
              <w:top w:type="dxa" w:w="90"/>
              <w:left w:type="dxa" w:w="130"/>
              <w:bottom w:type="dxa" w:w="90"/>
              <w:right w:type="dxa" w:w="130"/>
            </w:tcMar>
          </w:tcPr>
          <w:p>
            <w:pPr>
              <w:jc w:val="right"/>
            </w:pPr>
            <w:r>
              <w:rPr>
                <w:b w:val="false"/>
                <w:bCs w:val="false"/>
                <w:sz w:val="19"/>
                <w:szCs w:val="19"/>
              </w:rPr>
              <w:t xml:space="preserve">3,04 %</w:t>
            </w:r>
          </w:p>
        </w:tc>
        <w:tc>
          <w:tcPr>
            <w:tcW w:type="dxa" w:w="1660"/>
            <w:shd w:fill="F7F8FA" w:val="clear"/>
            <w:tcMar>
              <w:top w:type="dxa" w:w="90"/>
              <w:left w:type="dxa" w:w="130"/>
              <w:bottom w:type="dxa" w:w="90"/>
              <w:right w:type="dxa" w:w="130"/>
            </w:tcMar>
          </w:tcPr>
          <w:p>
            <w:pPr>
              <w:jc w:val="right"/>
            </w:pPr>
            <w:r>
              <w:rPr>
                <w:b w:val="false"/>
                <w:bCs w:val="false"/>
                <w:sz w:val="19"/>
                <w:szCs w:val="19"/>
              </w:rPr>
              <w:t xml:space="preserve"/>
            </w:r>
            <w:r>
              <w:rPr>
                <w:b/>
                <w:bCs/>
                <w:sz w:val="19"/>
                <w:szCs w:val="19"/>
              </w:rPr>
              <w:t xml:space="preserve">7,19 %</w:t>
            </w:r>
            <w:r>
              <w:rPr>
                <w:b w:val="false"/>
                <w:bCs w:val="false"/>
                <w:sz w:val="19"/>
                <w:szCs w:val="19"/>
              </w:rPr>
              <w:t xml:space="preserve"/>
            </w:r>
          </w:p>
        </w:tc>
      </w:tr>
      <w:tr>
        <w:tc>
          <w:tcPr>
            <w:tcW w:type="dxa" w:w="2700"/>
            <w:shd w:fill="FFFFFF" w:val="clear"/>
            <w:tcMar>
              <w:top w:type="dxa" w:w="90"/>
              <w:left w:type="dxa" w:w="130"/>
              <w:bottom w:type="dxa" w:w="90"/>
              <w:right w:type="dxa" w:w="130"/>
            </w:tcMar>
          </w:tcPr>
          <w:p>
            <w:pPr>
              <w:jc w:val="left"/>
            </w:pPr>
            <w:r>
              <w:rPr>
                <w:b w:val="false"/>
                <w:bCs w:val="false"/>
                <w:sz w:val="19"/>
                <w:szCs w:val="19"/>
              </w:rPr>
              <w:t xml:space="preserve">Actions japonaises</w:t>
            </w:r>
          </w:p>
        </w:tc>
        <w:tc>
          <w:tcPr>
            <w:tcW w:type="dxa" w:w="1000"/>
            <w:shd w:fill="FFFFFF" w:val="clear"/>
            <w:tcMar>
              <w:top w:type="dxa" w:w="90"/>
              <w:left w:type="dxa" w:w="130"/>
              <w:bottom w:type="dxa" w:w="90"/>
              <w:right w:type="dxa" w:w="130"/>
            </w:tcMar>
          </w:tcPr>
          <w:p>
            <w:pPr>
              <w:jc w:val="right"/>
            </w:pPr>
            <w:r>
              <w:rPr>
                <w:b w:val="false"/>
                <w:bCs w:val="false"/>
                <w:sz w:val="19"/>
                <w:szCs w:val="19"/>
              </w:rPr>
              <w:t xml:space="preserve">19,1</w:t>
            </w:r>
          </w:p>
        </w:tc>
        <w:tc>
          <w:tcPr>
            <w:tcW w:type="dxa" w:w="1200"/>
            <w:shd w:fill="FFFFFF" w:val="clear"/>
            <w:tcMar>
              <w:top w:type="dxa" w:w="90"/>
              <w:left w:type="dxa" w:w="130"/>
              <w:bottom w:type="dxa" w:w="90"/>
              <w:right w:type="dxa" w:w="130"/>
            </w:tcMar>
          </w:tcPr>
          <w:p>
            <w:pPr>
              <w:jc w:val="right"/>
            </w:pPr>
            <w:r>
              <w:rPr>
                <w:b w:val="false"/>
                <w:bCs w:val="false"/>
                <w:sz w:val="19"/>
                <w:szCs w:val="19"/>
              </w:rPr>
              <w:t xml:space="preserve">3,66 %</w:t>
            </w:r>
          </w:p>
        </w:tc>
        <w:tc>
          <w:tcPr>
            <w:tcW w:type="dxa" w:w="1400"/>
            <w:shd w:fill="FFFFFF" w:val="clear"/>
            <w:tcMar>
              <w:top w:type="dxa" w:w="90"/>
              <w:left w:type="dxa" w:w="130"/>
              <w:bottom w:type="dxa" w:w="90"/>
              <w:right w:type="dxa" w:w="130"/>
            </w:tcMar>
          </w:tcPr>
          <w:p>
            <w:pPr>
              <w:jc w:val="right"/>
            </w:pPr>
            <w:r>
              <w:rPr>
                <w:b w:val="false"/>
                <w:bCs w:val="false"/>
                <w:sz w:val="19"/>
                <w:szCs w:val="19"/>
              </w:rPr>
              <w:t xml:space="preserve">5,24 %</w:t>
            </w:r>
          </w:p>
        </w:tc>
        <w:tc>
          <w:tcPr>
            <w:tcW w:type="dxa" w:w="1400"/>
            <w:shd w:fill="FFFFFF" w:val="clear"/>
            <w:tcMar>
              <w:top w:type="dxa" w:w="90"/>
              <w:left w:type="dxa" w:w="130"/>
              <w:bottom w:type="dxa" w:w="90"/>
              <w:right w:type="dxa" w:w="130"/>
            </w:tcMar>
          </w:tcPr>
          <w:p>
            <w:pPr>
              <w:jc w:val="right"/>
            </w:pPr>
            <w:r>
              <w:rPr>
                <w:b w:val="false"/>
                <w:bCs w:val="false"/>
                <w:sz w:val="19"/>
                <w:szCs w:val="19"/>
              </w:rPr>
              <w:t xml:space="preserve">5,64 %</w:t>
            </w:r>
          </w:p>
        </w:tc>
        <w:tc>
          <w:tcPr>
            <w:tcW w:type="dxa" w:w="1660"/>
            <w:shd w:fill="FFFFFF" w:val="clear"/>
            <w:tcMar>
              <w:top w:type="dxa" w:w="90"/>
              <w:left w:type="dxa" w:w="130"/>
              <w:bottom w:type="dxa" w:w="90"/>
              <w:right w:type="dxa" w:w="130"/>
            </w:tcMar>
          </w:tcPr>
          <w:p>
            <w:pPr>
              <w:jc w:val="right"/>
            </w:pPr>
            <w:r>
              <w:rPr>
                <w:b w:val="false"/>
                <w:bCs w:val="false"/>
                <w:sz w:val="19"/>
                <w:szCs w:val="19"/>
              </w:rPr>
              <w:t xml:space="preserve"/>
            </w:r>
            <w:r>
              <w:rPr>
                <w:b/>
                <w:bCs/>
                <w:sz w:val="19"/>
                <w:szCs w:val="19"/>
              </w:rPr>
              <w:t xml:space="preserve">9,44 %</w:t>
            </w:r>
            <w:r>
              <w:rPr>
                <w:b w:val="false"/>
                <w:bCs w:val="false"/>
                <w:sz w:val="19"/>
                <w:szCs w:val="19"/>
              </w:rPr>
              <w:t xml:space="preserve"/>
            </w:r>
          </w:p>
        </w:tc>
      </w:tr>
      <w:tr>
        <w:tc>
          <w:tcPr>
            <w:tcW w:type="dxa" w:w="2700"/>
            <w:shd w:fill="F7F8FA" w:val="clear"/>
            <w:tcMar>
              <w:top w:type="dxa" w:w="90"/>
              <w:left w:type="dxa" w:w="130"/>
              <w:bottom w:type="dxa" w:w="90"/>
              <w:right w:type="dxa" w:w="130"/>
            </w:tcMar>
          </w:tcPr>
          <w:p>
            <w:pPr>
              <w:jc w:val="left"/>
            </w:pPr>
            <w:r>
              <w:rPr>
                <w:b w:val="false"/>
                <w:bCs w:val="false"/>
                <w:sz w:val="19"/>
                <w:szCs w:val="19"/>
              </w:rPr>
              <w:t xml:space="preserve">Actions émergentes</w:t>
            </w:r>
          </w:p>
        </w:tc>
        <w:tc>
          <w:tcPr>
            <w:tcW w:type="dxa" w:w="1000"/>
            <w:shd w:fill="F7F8FA" w:val="clear"/>
            <w:tcMar>
              <w:top w:type="dxa" w:w="90"/>
              <w:left w:type="dxa" w:w="130"/>
              <w:bottom w:type="dxa" w:w="90"/>
              <w:right w:type="dxa" w:w="130"/>
            </w:tcMar>
          </w:tcPr>
          <w:p>
            <w:pPr>
              <w:jc w:val="right"/>
            </w:pPr>
            <w:r>
              <w:rPr>
                <w:b w:val="false"/>
                <w:bCs w:val="false"/>
                <w:sz w:val="19"/>
                <w:szCs w:val="19"/>
              </w:rPr>
              <w:t xml:space="preserve">20,8</w:t>
            </w:r>
          </w:p>
        </w:tc>
        <w:tc>
          <w:tcPr>
            <w:tcW w:type="dxa" w:w="1200"/>
            <w:shd w:fill="F7F8FA" w:val="clear"/>
            <w:tcMar>
              <w:top w:type="dxa" w:w="90"/>
              <w:left w:type="dxa" w:w="130"/>
              <w:bottom w:type="dxa" w:w="90"/>
              <w:right w:type="dxa" w:w="130"/>
            </w:tcMar>
          </w:tcPr>
          <w:p>
            <w:pPr>
              <w:jc w:val="right"/>
            </w:pPr>
            <w:r>
              <w:rPr>
                <w:b w:val="false"/>
                <w:bCs w:val="false"/>
                <w:sz w:val="19"/>
                <w:szCs w:val="19"/>
              </w:rPr>
              <w:t xml:space="preserve">2,96 %</w:t>
            </w:r>
          </w:p>
        </w:tc>
        <w:tc>
          <w:tcPr>
            <w:tcW w:type="dxa" w:w="1400"/>
            <w:shd w:fill="F7F8FA" w:val="clear"/>
            <w:tcMar>
              <w:top w:type="dxa" w:w="90"/>
              <w:left w:type="dxa" w:w="130"/>
              <w:bottom w:type="dxa" w:w="90"/>
              <w:right w:type="dxa" w:w="130"/>
            </w:tcMar>
          </w:tcPr>
          <w:p>
            <w:pPr>
              <w:jc w:val="right"/>
            </w:pPr>
            <w:r>
              <w:rPr>
                <w:b w:val="false"/>
                <w:bCs w:val="false"/>
                <w:sz w:val="19"/>
                <w:szCs w:val="19"/>
              </w:rPr>
              <w:t xml:space="preserve">4,81 %</w:t>
            </w:r>
          </w:p>
        </w:tc>
        <w:tc>
          <w:tcPr>
            <w:tcW w:type="dxa" w:w="1400"/>
            <w:shd w:fill="F7F8FA" w:val="clear"/>
            <w:tcMar>
              <w:top w:type="dxa" w:w="90"/>
              <w:left w:type="dxa" w:w="130"/>
              <w:bottom w:type="dxa" w:w="90"/>
              <w:right w:type="dxa" w:w="130"/>
            </w:tcMar>
          </w:tcPr>
          <w:p>
            <w:pPr>
              <w:jc w:val="right"/>
            </w:pPr>
            <w:r>
              <w:rPr>
                <w:b w:val="false"/>
                <w:bCs w:val="false"/>
                <w:sz w:val="19"/>
                <w:szCs w:val="19"/>
              </w:rPr>
              <w:t xml:space="preserve">4,94 %</w:t>
            </w:r>
          </w:p>
        </w:tc>
        <w:tc>
          <w:tcPr>
            <w:tcW w:type="dxa" w:w="1660"/>
            <w:shd w:fill="F7F8FA" w:val="clear"/>
            <w:tcMar>
              <w:top w:type="dxa" w:w="90"/>
              <w:left w:type="dxa" w:w="130"/>
              <w:bottom w:type="dxa" w:w="90"/>
              <w:right w:type="dxa" w:w="130"/>
            </w:tcMar>
          </w:tcPr>
          <w:p>
            <w:pPr>
              <w:jc w:val="right"/>
            </w:pPr>
            <w:r>
              <w:rPr>
                <w:b w:val="false"/>
                <w:bCs w:val="false"/>
                <w:sz w:val="19"/>
                <w:szCs w:val="19"/>
              </w:rPr>
              <w:t xml:space="preserve"/>
            </w:r>
            <w:r>
              <w:rPr>
                <w:b/>
                <w:bCs/>
                <w:sz w:val="19"/>
                <w:szCs w:val="19"/>
              </w:rPr>
              <w:t xml:space="preserve">8,40 %</w:t>
            </w:r>
            <w:r>
              <w:rPr>
                <w:b w:val="false"/>
                <w:bCs w:val="false"/>
                <w:sz w:val="19"/>
                <w:szCs w:val="19"/>
              </w:rPr>
              <w:t xml:space="preserve"/>
            </w:r>
          </w:p>
        </w:tc>
      </w:tr>
    </w:tbl>
    <w:p>
      <w:pPr>
        <w:spacing w:after="160"/>
      </w:pPr>
    </w:p>
    <w:p>
      <w:pPr>
        <w:spacing w:after="120" w:line="276"/>
        <w:jc w:val="both"/>
      </w:pPr>
      <w:r>
        <w:rPr>
          <w:b w:val="false"/>
          <w:bCs w:val="false"/>
        </w:rPr>
        <w:t xml:space="preserve"/>
      </w:r>
      <w:r>
        <w:rPr>
          <w:b/>
          <w:bCs/>
        </w:rPr>
        <w:t xml:space="preserve">Les limites, à dire avant qu'on vous les oppose.</w:t>
      </w:r>
      <w:r>
        <w:rPr>
          <w:b w:val="false"/>
          <w:bCs w:val="false"/>
        </w:rPr>
        <w:t xml:space="preserve"> Une croissance identique pour toutes les zones pénalise mécaniquement les États-Unis, dont le poids technologique justifierait davantage. Et le PER dépend de la source : avec les PER Yahoo plutôt qu'iShares, les États-Unis remontent à environ 8,1 %. L'écart Europe / États-Unis se réduit alors fortement, mais il ne s'inverse pas.</w:t>
      </w:r>
    </w:p>
    <w:p>
      <w:pPr>
        <w:spacing w:after="120" w:line="276"/>
        <w:jc w:val="both"/>
      </w:pPr>
      <w:r>
        <w:rPr>
          <w:b w:val="false"/>
          <w:bCs w:val="false"/>
        </w:rPr>
        <w:t xml:space="preserve"/>
      </w:r>
      <w:r>
        <w:rPr>
          <w:b/>
          <w:bCs/>
        </w:rPr>
        <w:t xml:space="preserve">Le contrôle externe.</w:t>
      </w:r>
      <w:r>
        <w:rPr>
          <w:b w:val="false"/>
          <w:bCs w:val="false"/>
        </w:rPr>
        <w:t xml:space="preserve"> Ces chiffres ont été confrontés aux hypothèses de marché long terme de J.P. Morgan Asset Management (LTCMA 2026, hypothèses en euros, au 30/09/2025, inflation supposée 2 %). Même sens, écart inférieur à un point une fois les régimes d'inflation alignés.</w:t>
      </w:r>
    </w:p>
    <w:p>
      <w:pPr>
        <w:pStyle w:val="Heading2"/>
        <w:spacing w:after="120" w:before="280"/>
      </w:pPr>
      <w:r>
        <w:t xml:space="preserve">3.3 L'or et les matières premières : une hypothèse, et elle est dite</w:t>
      </w:r>
    </w:p>
    <w:p>
      <w:pPr>
        <w:spacing w:after="120" w:line="276"/>
        <w:jc w:val="both"/>
      </w:pPr>
      <w:r>
        <w:rPr>
          <w:b w:val="false"/>
          <w:bCs w:val="false"/>
        </w:rPr>
        <w:t xml:space="preserve">Ni l'un ni l'autre ne verse de flux : il n'existe aucune méthode d'actualisation. On suppose qu'ils conservent leur pouvoir d'achat, soit l'inflation, 4,00 %, avec une fourchette de deux points de part et d'autre. </w:t>
      </w:r>
      <w:r>
        <w:rPr>
          <w:b/>
          <w:bCs/>
        </w:rPr>
        <w:t xml:space="preserve">C'est une hypothèse, pas une estimation</w:t>
      </w:r>
      <w:r>
        <w:rPr>
          <w:b w:val="false"/>
          <w:bCs w:val="false"/>
        </w:rPr>
        <w:t xml:space="preserve">, et elle est étiquetée comme telle dans l'application.</w:t>
      </w:r>
    </w:p>
    <w:p>
      <w:pPr>
        <w:pStyle w:val="Heading2"/>
        <w:spacing w:after="120" w:before="280"/>
      </w:pPr>
      <w:r>
        <w:t xml:space="preserve">3.4 Le tableau complet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3360"/>
      </w:tblGrid>
      <w:tr>
        <w:trPr>
          <w:tblHeader/>
        </w:trPr>
        <w:tc>
          <w:tcPr>
            <w:tcW w:type="dxa" w:w="3400"/>
            <w:shd w:fill="14304F" w:val="clear"/>
            <w:tcMar>
              <w:top w:type="dxa" w:w="90"/>
              <w:left w:type="dxa" w:w="130"/>
              <w:bottom w:type="dxa" w:w="90"/>
              <w:right w:type="dxa" w:w="130"/>
            </w:tcMar>
          </w:tcPr>
          <w:p>
            <w:pPr>
              <w:jc w:val="left"/>
            </w:pPr>
            <w:r>
              <w:rPr>
                <w:b/>
                <w:bCs/>
                <w:color w:val="FFFFFF"/>
                <w:sz w:val="19"/>
                <w:szCs w:val="19"/>
              </w:rPr>
              <w:t xml:space="preserve">Classe</w:t>
            </w:r>
          </w:p>
        </w:tc>
        <w:tc>
          <w:tcPr>
            <w:tcW w:type="dxa" w:w="2600"/>
            <w:shd w:fill="14304F" w:val="clear"/>
            <w:tcMar>
              <w:top w:type="dxa" w:w="90"/>
              <w:left w:type="dxa" w:w="130"/>
              <w:bottom w:type="dxa" w:w="90"/>
              <w:right w:type="dxa" w:w="130"/>
            </w:tcMar>
          </w:tcPr>
          <w:p>
            <w:pPr>
              <w:jc w:val="right"/>
            </w:pPr>
            <w:r>
              <w:rPr>
                <w:b/>
                <w:bCs/>
                <w:color w:val="FFFFFF"/>
                <w:sz w:val="19"/>
                <w:szCs w:val="19"/>
              </w:rPr>
              <w:t xml:space="preserve">Rendement espéré</w:t>
            </w:r>
          </w:p>
        </w:tc>
        <w:tc>
          <w:tcPr>
            <w:tcW w:type="dxa" w:w="3360"/>
            <w:shd w:fill="14304F" w:val="clear"/>
            <w:tcMar>
              <w:top w:type="dxa" w:w="90"/>
              <w:left w:type="dxa" w:w="130"/>
              <w:bottom w:type="dxa" w:w="90"/>
              <w:right w:type="dxa" w:w="130"/>
            </w:tcMar>
          </w:tcPr>
          <w:p>
            <w:pPr>
              <w:jc w:val="right"/>
            </w:pPr>
            <w:r>
              <w:rPr>
                <w:b/>
                <w:bCs/>
                <w:color w:val="FFFFFF"/>
                <w:sz w:val="19"/>
                <w:szCs w:val="19"/>
              </w:rPr>
              <w:t xml:space="preserve">Nature du chiffre</w:t>
            </w:r>
          </w:p>
        </w:tc>
      </w:tr>
      <w:tr>
        <w:tc>
          <w:tcPr>
            <w:tcW w:type="dxa" w:w="3400"/>
            <w:shd w:fill="FFFFFF" w:val="clear"/>
            <w:tcMar>
              <w:top w:type="dxa" w:w="90"/>
              <w:left w:type="dxa" w:w="130"/>
              <w:bottom w:type="dxa" w:w="90"/>
              <w:right w:type="dxa" w:w="130"/>
            </w:tcMar>
          </w:tcPr>
          <w:p>
            <w:pPr>
              <w:jc w:val="left"/>
            </w:pPr>
            <w:r>
              <w:rPr>
                <w:b w:val="false"/>
                <w:bCs w:val="false"/>
                <w:sz w:val="19"/>
                <w:szCs w:val="19"/>
              </w:rPr>
              <w:t xml:space="preserve">Actions japonaises</w:t>
            </w:r>
          </w:p>
        </w:tc>
        <w:tc>
          <w:tcPr>
            <w:tcW w:type="dxa" w:w="2600"/>
            <w:shd w:fill="FFFFFF" w:val="clear"/>
            <w:tcMar>
              <w:top w:type="dxa" w:w="90"/>
              <w:left w:type="dxa" w:w="130"/>
              <w:bottom w:type="dxa" w:w="90"/>
              <w:right w:type="dxa" w:w="130"/>
            </w:tcMar>
          </w:tcPr>
          <w:p>
            <w:pPr>
              <w:jc w:val="right"/>
            </w:pPr>
            <w:r>
              <w:rPr>
                <w:b w:val="false"/>
                <w:bCs w:val="false"/>
                <w:sz w:val="19"/>
                <w:szCs w:val="19"/>
              </w:rPr>
              <w:t xml:space="preserve">9,44 %</w:t>
            </w:r>
          </w:p>
        </w:tc>
        <w:tc>
          <w:tcPr>
            <w:tcW w:type="dxa" w:w="3360"/>
            <w:shd w:fill="FFFFFF" w:val="clear"/>
            <w:tcMar>
              <w:top w:type="dxa" w:w="90"/>
              <w:left w:type="dxa" w:w="130"/>
              <w:bottom w:type="dxa" w:w="90"/>
              <w:right w:type="dxa" w:w="130"/>
            </w:tcMar>
          </w:tcPr>
          <w:p>
            <w:pPr>
              <w:jc w:val="right"/>
            </w:pPr>
            <w:r>
              <w:rPr>
                <w:b w:val="false"/>
                <w:bCs w:val="false"/>
                <w:sz w:val="19"/>
                <w:szCs w:val="19"/>
              </w:rPr>
              <w:t xml:space="preserve">Estimé (valorisation)</w:t>
            </w:r>
          </w:p>
        </w:tc>
      </w:tr>
      <w:tr>
        <w:tc>
          <w:tcPr>
            <w:tcW w:type="dxa" w:w="3400"/>
            <w:shd w:fill="F7F8FA" w:val="clear"/>
            <w:tcMar>
              <w:top w:type="dxa" w:w="90"/>
              <w:left w:type="dxa" w:w="130"/>
              <w:bottom w:type="dxa" w:w="90"/>
              <w:right w:type="dxa" w:w="130"/>
            </w:tcMar>
          </w:tcPr>
          <w:p>
            <w:pPr>
              <w:jc w:val="left"/>
            </w:pPr>
            <w:r>
              <w:rPr>
                <w:b w:val="false"/>
                <w:bCs w:val="false"/>
                <w:sz w:val="19"/>
                <w:szCs w:val="19"/>
              </w:rPr>
              <w:t xml:space="preserve">Actions européennes</w:t>
            </w:r>
          </w:p>
        </w:tc>
        <w:tc>
          <w:tcPr>
            <w:tcW w:type="dxa" w:w="2600"/>
            <w:shd w:fill="F7F8FA" w:val="clear"/>
            <w:tcMar>
              <w:top w:type="dxa" w:w="90"/>
              <w:left w:type="dxa" w:w="130"/>
              <w:bottom w:type="dxa" w:w="90"/>
              <w:right w:type="dxa" w:w="130"/>
            </w:tcMar>
          </w:tcPr>
          <w:p>
            <w:pPr>
              <w:jc w:val="right"/>
            </w:pPr>
            <w:r>
              <w:rPr>
                <w:b w:val="false"/>
                <w:bCs w:val="false"/>
                <w:sz w:val="19"/>
                <w:szCs w:val="19"/>
              </w:rPr>
              <w:t xml:space="preserve">9,23 %</w:t>
            </w:r>
          </w:p>
        </w:tc>
        <w:tc>
          <w:tcPr>
            <w:tcW w:type="dxa" w:w="3360"/>
            <w:shd w:fill="F7F8FA" w:val="clear"/>
            <w:tcMar>
              <w:top w:type="dxa" w:w="90"/>
              <w:left w:type="dxa" w:w="130"/>
              <w:bottom w:type="dxa" w:w="90"/>
              <w:right w:type="dxa" w:w="130"/>
            </w:tcMar>
          </w:tcPr>
          <w:p>
            <w:pPr>
              <w:jc w:val="right"/>
            </w:pPr>
            <w:r>
              <w:rPr>
                <w:b w:val="false"/>
                <w:bCs w:val="false"/>
                <w:sz w:val="19"/>
                <w:szCs w:val="19"/>
              </w:rPr>
              <w:t xml:space="preserve">Estimé (valorisation)</w:t>
            </w:r>
          </w:p>
        </w:tc>
      </w:tr>
      <w:tr>
        <w:tc>
          <w:tcPr>
            <w:tcW w:type="dxa" w:w="3400"/>
            <w:shd w:fill="FFFFFF" w:val="clear"/>
            <w:tcMar>
              <w:top w:type="dxa" w:w="90"/>
              <w:left w:type="dxa" w:w="130"/>
              <w:bottom w:type="dxa" w:w="90"/>
              <w:right w:type="dxa" w:w="130"/>
            </w:tcMar>
          </w:tcPr>
          <w:p>
            <w:pPr>
              <w:jc w:val="left"/>
            </w:pPr>
            <w:r>
              <w:rPr>
                <w:b w:val="false"/>
                <w:bCs w:val="false"/>
                <w:sz w:val="19"/>
                <w:szCs w:val="19"/>
              </w:rPr>
              <w:t xml:space="preserve">Actions émergentes</w:t>
            </w:r>
          </w:p>
        </w:tc>
        <w:tc>
          <w:tcPr>
            <w:tcW w:type="dxa" w:w="2600"/>
            <w:shd w:fill="FFFFFF" w:val="clear"/>
            <w:tcMar>
              <w:top w:type="dxa" w:w="90"/>
              <w:left w:type="dxa" w:w="130"/>
              <w:bottom w:type="dxa" w:w="90"/>
              <w:right w:type="dxa" w:w="130"/>
            </w:tcMar>
          </w:tcPr>
          <w:p>
            <w:pPr>
              <w:jc w:val="right"/>
            </w:pPr>
            <w:r>
              <w:rPr>
                <w:b w:val="false"/>
                <w:bCs w:val="false"/>
                <w:sz w:val="19"/>
                <w:szCs w:val="19"/>
              </w:rPr>
              <w:t xml:space="preserve">8,40 %</w:t>
            </w:r>
          </w:p>
        </w:tc>
        <w:tc>
          <w:tcPr>
            <w:tcW w:type="dxa" w:w="3360"/>
            <w:shd w:fill="FFFFFF" w:val="clear"/>
            <w:tcMar>
              <w:top w:type="dxa" w:w="90"/>
              <w:left w:type="dxa" w:w="130"/>
              <w:bottom w:type="dxa" w:w="90"/>
              <w:right w:type="dxa" w:w="130"/>
            </w:tcMar>
          </w:tcPr>
          <w:p>
            <w:pPr>
              <w:jc w:val="right"/>
            </w:pPr>
            <w:r>
              <w:rPr>
                <w:b w:val="false"/>
                <w:bCs w:val="false"/>
                <w:sz w:val="19"/>
                <w:szCs w:val="19"/>
              </w:rPr>
              <w:t xml:space="preserve">Estimé (valorisation)</w:t>
            </w:r>
          </w:p>
        </w:tc>
      </w:tr>
      <w:tr>
        <w:tc>
          <w:tcPr>
            <w:tcW w:type="dxa" w:w="3400"/>
            <w:shd w:fill="F7F8FA" w:val="clear"/>
            <w:tcMar>
              <w:top w:type="dxa" w:w="90"/>
              <w:left w:type="dxa" w:w="130"/>
              <w:bottom w:type="dxa" w:w="90"/>
              <w:right w:type="dxa" w:w="130"/>
            </w:tcMar>
          </w:tcPr>
          <w:p>
            <w:pPr>
              <w:jc w:val="left"/>
            </w:pPr>
            <w:r>
              <w:rPr>
                <w:b w:val="false"/>
                <w:bCs w:val="false"/>
                <w:sz w:val="19"/>
                <w:szCs w:val="19"/>
              </w:rPr>
              <w:t xml:space="preserve">Actions américaines</w:t>
            </w:r>
          </w:p>
        </w:tc>
        <w:tc>
          <w:tcPr>
            <w:tcW w:type="dxa" w:w="2600"/>
            <w:shd w:fill="F7F8FA" w:val="clear"/>
            <w:tcMar>
              <w:top w:type="dxa" w:w="90"/>
              <w:left w:type="dxa" w:w="130"/>
              <w:bottom w:type="dxa" w:w="90"/>
              <w:right w:type="dxa" w:w="130"/>
            </w:tcMar>
          </w:tcPr>
          <w:p>
            <w:pPr>
              <w:jc w:val="right"/>
            </w:pPr>
            <w:r>
              <w:rPr>
                <w:b w:val="false"/>
                <w:bCs w:val="false"/>
                <w:sz w:val="19"/>
                <w:szCs w:val="19"/>
              </w:rPr>
              <w:t xml:space="preserve">7,19 %</w:t>
            </w:r>
          </w:p>
        </w:tc>
        <w:tc>
          <w:tcPr>
            <w:tcW w:type="dxa" w:w="3360"/>
            <w:shd w:fill="F7F8FA" w:val="clear"/>
            <w:tcMar>
              <w:top w:type="dxa" w:w="90"/>
              <w:left w:type="dxa" w:w="130"/>
              <w:bottom w:type="dxa" w:w="90"/>
              <w:right w:type="dxa" w:w="130"/>
            </w:tcMar>
          </w:tcPr>
          <w:p>
            <w:pPr>
              <w:jc w:val="right"/>
            </w:pPr>
            <w:r>
              <w:rPr>
                <w:b w:val="false"/>
                <w:bCs w:val="false"/>
                <w:sz w:val="19"/>
                <w:szCs w:val="19"/>
              </w:rPr>
              <w:t xml:space="preserve">Estimé (valorisation)</w:t>
            </w:r>
          </w:p>
        </w:tc>
      </w:tr>
      <w:tr>
        <w:tc>
          <w:tcPr>
            <w:tcW w:type="dxa" w:w="3400"/>
            <w:shd w:fill="FFFFFF" w:val="clear"/>
            <w:tcMar>
              <w:top w:type="dxa" w:w="90"/>
              <w:left w:type="dxa" w:w="130"/>
              <w:bottom w:type="dxa" w:w="90"/>
              <w:right w:type="dxa" w:w="130"/>
            </w:tcMar>
          </w:tcPr>
          <w:p>
            <w:pPr>
              <w:jc w:val="left"/>
            </w:pPr>
            <w:r>
              <w:rPr>
                <w:b w:val="false"/>
                <w:bCs w:val="false"/>
                <w:sz w:val="19"/>
                <w:szCs w:val="19"/>
              </w:rPr>
              <w:t xml:space="preserve">Obligations indexées</w:t>
            </w:r>
          </w:p>
        </w:tc>
        <w:tc>
          <w:tcPr>
            <w:tcW w:type="dxa" w:w="2600"/>
            <w:shd w:fill="FFFFFF" w:val="clear"/>
            <w:tcMar>
              <w:top w:type="dxa" w:w="90"/>
              <w:left w:type="dxa" w:w="130"/>
              <w:bottom w:type="dxa" w:w="90"/>
              <w:right w:type="dxa" w:w="130"/>
            </w:tcMar>
          </w:tcPr>
          <w:p>
            <w:pPr>
              <w:jc w:val="right"/>
            </w:pPr>
            <w:r>
              <w:rPr>
                <w:b w:val="false"/>
                <w:bCs w:val="false"/>
                <w:sz w:val="19"/>
                <w:szCs w:val="19"/>
              </w:rPr>
              <w:t xml:space="preserve">5,43 %</w:t>
            </w:r>
          </w:p>
        </w:tc>
        <w:tc>
          <w:tcPr>
            <w:tcW w:type="dxa" w:w="3360"/>
            <w:shd w:fill="FFFFFF" w:val="clear"/>
            <w:tcMar>
              <w:top w:type="dxa" w:w="90"/>
              <w:left w:type="dxa" w:w="130"/>
              <w:bottom w:type="dxa" w:w="90"/>
              <w:right w:type="dxa" w:w="130"/>
            </w:tcMar>
          </w:tcPr>
          <w:p>
            <w:pPr>
              <w:jc w:val="right"/>
            </w:pPr>
            <w:r>
              <w:rPr>
                <w:b w:val="false"/>
                <w:bCs w:val="false"/>
                <w:sz w:val="19"/>
                <w:szCs w:val="19"/>
              </w:rPr>
              <w:t xml:space="preserve">Mesuré + inflation énoncé</w:t>
            </w:r>
          </w:p>
        </w:tc>
      </w:tr>
      <w:tr>
        <w:tc>
          <w:tcPr>
            <w:tcW w:type="dxa" w:w="3400"/>
            <w:shd w:fill="F7F8FA" w:val="clear"/>
            <w:tcMar>
              <w:top w:type="dxa" w:w="90"/>
              <w:left w:type="dxa" w:w="130"/>
              <w:bottom w:type="dxa" w:w="90"/>
              <w:right w:type="dxa" w:w="130"/>
            </w:tcMar>
          </w:tcPr>
          <w:p>
            <w:pPr>
              <w:jc w:val="left"/>
            </w:pPr>
            <w:r>
              <w:rPr>
                <w:b w:val="false"/>
                <w:bCs w:val="false"/>
                <w:sz w:val="19"/>
                <w:szCs w:val="19"/>
              </w:rPr>
              <w:t xml:space="preserve">Or</w:t>
            </w:r>
          </w:p>
        </w:tc>
        <w:tc>
          <w:tcPr>
            <w:tcW w:type="dxa" w:w="2600"/>
            <w:shd w:fill="F7F8FA" w:val="clear"/>
            <w:tcMar>
              <w:top w:type="dxa" w:w="90"/>
              <w:left w:type="dxa" w:w="130"/>
              <w:bottom w:type="dxa" w:w="90"/>
              <w:right w:type="dxa" w:w="130"/>
            </w:tcMar>
          </w:tcPr>
          <w:p>
            <w:pPr>
              <w:jc w:val="right"/>
            </w:pPr>
            <w:r>
              <w:rPr>
                <w:b w:val="false"/>
                <w:bCs w:val="false"/>
                <w:sz w:val="19"/>
                <w:szCs w:val="19"/>
              </w:rPr>
              <w:t xml:space="preserve">4,00 %</w:t>
            </w:r>
          </w:p>
        </w:tc>
        <w:tc>
          <w:tcPr>
            <w:tcW w:type="dxa" w:w="3360"/>
            <w:shd w:fill="F7F8FA" w:val="clear"/>
            <w:tcMar>
              <w:top w:type="dxa" w:w="90"/>
              <w:left w:type="dxa" w:w="130"/>
              <w:bottom w:type="dxa" w:w="90"/>
              <w:right w:type="dxa" w:w="130"/>
            </w:tcMar>
          </w:tcPr>
          <w:p>
            <w:pPr>
              <w:jc w:val="right"/>
            </w:pPr>
            <w:r>
              <w:rPr>
                <w:b w:val="false"/>
                <w:bCs w:val="false"/>
                <w:sz w:val="19"/>
                <w:szCs w:val="19"/>
              </w:rPr>
              <w:t xml:space="preserve">Hypothèse</w:t>
            </w:r>
          </w:p>
        </w:tc>
      </w:tr>
      <w:tr>
        <w:tc>
          <w:tcPr>
            <w:tcW w:type="dxa" w:w="3400"/>
            <w:shd w:fill="FFFFFF" w:val="clear"/>
            <w:tcMar>
              <w:top w:type="dxa" w:w="90"/>
              <w:left w:type="dxa" w:w="130"/>
              <w:bottom w:type="dxa" w:w="90"/>
              <w:right w:type="dxa" w:w="130"/>
            </w:tcMar>
          </w:tcPr>
          <w:p>
            <w:pPr>
              <w:jc w:val="left"/>
            </w:pPr>
            <w:r>
              <w:rPr>
                <w:b w:val="false"/>
                <w:bCs w:val="false"/>
                <w:sz w:val="19"/>
                <w:szCs w:val="19"/>
              </w:rPr>
              <w:t xml:space="preserve">États zone euro 2-10 ans</w:t>
            </w:r>
          </w:p>
        </w:tc>
        <w:tc>
          <w:tcPr>
            <w:tcW w:type="dxa" w:w="2600"/>
            <w:shd w:fill="FFFFFF" w:val="clear"/>
            <w:tcMar>
              <w:top w:type="dxa" w:w="90"/>
              <w:left w:type="dxa" w:w="130"/>
              <w:bottom w:type="dxa" w:w="90"/>
              <w:right w:type="dxa" w:w="130"/>
            </w:tcMar>
          </w:tcPr>
          <w:p>
            <w:pPr>
              <w:jc w:val="right"/>
            </w:pPr>
            <w:r>
              <w:rPr>
                <w:b w:val="false"/>
                <w:bCs w:val="false"/>
                <w:sz w:val="19"/>
                <w:szCs w:val="19"/>
              </w:rPr>
              <w:t xml:space="preserve">3,63 %</w:t>
            </w:r>
          </w:p>
        </w:tc>
        <w:tc>
          <w:tcPr>
            <w:tcW w:type="dxa" w:w="3360"/>
            <w:shd w:fill="FFFFFF" w:val="clear"/>
            <w:tcMar>
              <w:top w:type="dxa" w:w="90"/>
              <w:left w:type="dxa" w:w="130"/>
              <w:bottom w:type="dxa" w:w="90"/>
              <w:right w:type="dxa" w:w="130"/>
            </w:tcMar>
          </w:tcPr>
          <w:p>
            <w:pPr>
              <w:jc w:val="right"/>
            </w:pPr>
            <w:r>
              <w:rPr>
                <w:b w:val="false"/>
                <w:bCs w:val="false"/>
                <w:sz w:val="19"/>
                <w:szCs w:val="19"/>
              </w:rPr>
              <w:t xml:space="preserve">Mesuré (courbe BCE)</w:t>
            </w:r>
          </w:p>
        </w:tc>
      </w:tr>
      <w:tr>
        <w:tc>
          <w:tcPr>
            <w:tcW w:type="dxa" w:w="3400"/>
            <w:shd w:fill="F7F8FA" w:val="clear"/>
            <w:tcMar>
              <w:top w:type="dxa" w:w="90"/>
              <w:left w:type="dxa" w:w="130"/>
              <w:bottom w:type="dxa" w:w="90"/>
              <w:right w:type="dxa" w:w="130"/>
            </w:tcMar>
          </w:tcPr>
          <w:p>
            <w:pPr>
              <w:jc w:val="left"/>
            </w:pPr>
            <w:r>
              <w:rPr>
                <w:b w:val="false"/>
                <w:bCs w:val="false"/>
                <w:sz w:val="19"/>
                <w:szCs w:val="19"/>
              </w:rPr>
              <w:t xml:space="preserve">Crédit euro court</w:t>
            </w:r>
          </w:p>
        </w:tc>
        <w:tc>
          <w:tcPr>
            <w:tcW w:type="dxa" w:w="2600"/>
            <w:shd w:fill="F7F8FA" w:val="clear"/>
            <w:tcMar>
              <w:top w:type="dxa" w:w="90"/>
              <w:left w:type="dxa" w:w="130"/>
              <w:bottom w:type="dxa" w:w="90"/>
              <w:right w:type="dxa" w:w="130"/>
            </w:tcMar>
          </w:tcPr>
          <w:p>
            <w:pPr>
              <w:jc w:val="right"/>
            </w:pPr>
            <w:r>
              <w:rPr>
                <w:b w:val="false"/>
                <w:bCs w:val="false"/>
                <w:sz w:val="19"/>
                <w:szCs w:val="19"/>
              </w:rPr>
              <w:t xml:space="preserve">3,39 %</w:t>
            </w:r>
          </w:p>
        </w:tc>
        <w:tc>
          <w:tcPr>
            <w:tcW w:type="dxa" w:w="3360"/>
            <w:shd w:fill="F7F8FA" w:val="clear"/>
            <w:tcMar>
              <w:top w:type="dxa" w:w="90"/>
              <w:left w:type="dxa" w:w="130"/>
              <w:bottom w:type="dxa" w:w="90"/>
              <w:right w:type="dxa" w:w="130"/>
            </w:tcMar>
          </w:tcPr>
          <w:p>
            <w:pPr>
              <w:jc w:val="right"/>
            </w:pPr>
            <w:r>
              <w:rPr>
                <w:b w:val="false"/>
                <w:bCs w:val="false"/>
                <w:sz w:val="19"/>
                <w:szCs w:val="19"/>
              </w:rPr>
              <w:t xml:space="preserve">Mesuré − défauts</w:t>
            </w:r>
          </w:p>
        </w:tc>
      </w:tr>
      <w:tr>
        <w:tc>
          <w:tcPr>
            <w:tcW w:type="dxa" w:w="3400"/>
            <w:shd w:fill="FFFFFF" w:val="clear"/>
            <w:tcMar>
              <w:top w:type="dxa" w:w="90"/>
              <w:left w:type="dxa" w:w="130"/>
              <w:bottom w:type="dxa" w:w="90"/>
              <w:right w:type="dxa" w:w="130"/>
            </w:tcMar>
          </w:tcPr>
          <w:p>
            <w:pPr>
              <w:jc w:val="left"/>
            </w:pPr>
            <w:r>
              <w:rPr>
                <w:b w:val="false"/>
                <w:bCs w:val="false"/>
                <w:sz w:val="19"/>
                <w:szCs w:val="19"/>
              </w:rPr>
              <w:t xml:space="preserve">États AAA 6-24 mois</w:t>
            </w:r>
          </w:p>
        </w:tc>
        <w:tc>
          <w:tcPr>
            <w:tcW w:type="dxa" w:w="2600"/>
            <w:shd w:fill="FFFFFF" w:val="clear"/>
            <w:tcMar>
              <w:top w:type="dxa" w:w="90"/>
              <w:left w:type="dxa" w:w="130"/>
              <w:bottom w:type="dxa" w:w="90"/>
              <w:right w:type="dxa" w:w="130"/>
            </w:tcMar>
          </w:tcPr>
          <w:p>
            <w:pPr>
              <w:jc w:val="right"/>
            </w:pPr>
            <w:r>
              <w:rPr>
                <w:b w:val="false"/>
                <w:bCs w:val="false"/>
                <w:sz w:val="19"/>
                <w:szCs w:val="19"/>
              </w:rPr>
              <w:t xml:space="preserve">3,03 %</w:t>
            </w:r>
          </w:p>
        </w:tc>
        <w:tc>
          <w:tcPr>
            <w:tcW w:type="dxa" w:w="3360"/>
            <w:shd w:fill="FFFFFF" w:val="clear"/>
            <w:tcMar>
              <w:top w:type="dxa" w:w="90"/>
              <w:left w:type="dxa" w:w="130"/>
              <w:bottom w:type="dxa" w:w="90"/>
              <w:right w:type="dxa" w:w="130"/>
            </w:tcMar>
          </w:tcPr>
          <w:p>
            <w:pPr>
              <w:jc w:val="right"/>
            </w:pPr>
            <w:r>
              <w:rPr>
                <w:b w:val="false"/>
                <w:bCs w:val="false"/>
                <w:sz w:val="19"/>
                <w:szCs w:val="19"/>
              </w:rPr>
              <w:t xml:space="preserve">Mesuré (courbe BCE)</w:t>
            </w:r>
          </w:p>
        </w:tc>
      </w:tr>
      <w:tr>
        <w:tc>
          <w:tcPr>
            <w:tcW w:type="dxa" w:w="3400"/>
            <w:shd w:fill="F7F8FA" w:val="clear"/>
            <w:tcMar>
              <w:top w:type="dxa" w:w="90"/>
              <w:left w:type="dxa" w:w="130"/>
              <w:bottom w:type="dxa" w:w="90"/>
              <w:right w:type="dxa" w:w="130"/>
            </w:tcMar>
          </w:tcPr>
          <w:p>
            <w:pPr>
              <w:jc w:val="left"/>
            </w:pPr>
            <w:r>
              <w:rPr>
                <w:b w:val="false"/>
                <w:bCs w:val="false"/>
                <w:sz w:val="19"/>
                <w:szCs w:val="19"/>
              </w:rPr>
              <w:t xml:space="preserve">Monétaire (€STR)</w:t>
            </w:r>
          </w:p>
        </w:tc>
        <w:tc>
          <w:tcPr>
            <w:tcW w:type="dxa" w:w="2600"/>
            <w:shd w:fill="F7F8FA" w:val="clear"/>
            <w:tcMar>
              <w:top w:type="dxa" w:w="90"/>
              <w:left w:type="dxa" w:w="130"/>
              <w:bottom w:type="dxa" w:w="90"/>
              <w:right w:type="dxa" w:w="130"/>
            </w:tcMar>
          </w:tcPr>
          <w:p>
            <w:pPr>
              <w:jc w:val="right"/>
            </w:pPr>
            <w:r>
              <w:rPr>
                <w:b w:val="false"/>
                <w:bCs w:val="false"/>
                <w:sz w:val="19"/>
                <w:szCs w:val="19"/>
              </w:rPr>
              <w:t xml:space="preserve">2,44 %</w:t>
            </w:r>
          </w:p>
        </w:tc>
        <w:tc>
          <w:tcPr>
            <w:tcW w:type="dxa" w:w="3360"/>
            <w:shd w:fill="F7F8FA" w:val="clear"/>
            <w:tcMar>
              <w:top w:type="dxa" w:w="90"/>
              <w:left w:type="dxa" w:w="130"/>
              <w:bottom w:type="dxa" w:w="90"/>
              <w:right w:type="dxa" w:w="130"/>
            </w:tcMar>
          </w:tcPr>
          <w:p>
            <w:pPr>
              <w:jc w:val="right"/>
            </w:pPr>
            <w:r>
              <w:rPr>
                <w:b w:val="false"/>
                <w:bCs w:val="false"/>
                <w:sz w:val="19"/>
                <w:szCs w:val="19"/>
              </w:rPr>
              <w:t xml:space="preserve">Mesuré</w:t>
            </w:r>
          </w:p>
        </w:tc>
      </w:tr>
    </w:tbl>
    <w:p>
      <w:pPr>
        <w:spacing w:after="160"/>
      </w:pPr>
    </w:p>
    <w:p>
      <w:pPr>
        <w:spacing w:after="120" w:line="276"/>
        <w:jc w:val="both"/>
      </w:pPr>
      <w:r>
        <w:rPr>
          <w:b w:val="false"/>
          <w:bCs w:val="false"/>
        </w:rPr>
        <w:t xml:space="preserve"/>
      </w:r>
      <w:r>
        <w:rPr>
          <w:b/>
          <w:bCs/>
        </w:rPr>
        <w:t xml:space="preserve">La lecture qui commande l'étape 4</w:t>
      </w:r>
      <w:r>
        <w:rPr>
          <w:b w:val="false"/>
          <w:bCs w:val="false"/>
        </w:rPr>
        <w:t xml:space="preserve"> : seules les actions et les obligations indexées dépassent le seuil de 4 %. Aucune obligation à taux fixe ne protège contre 4 % d'inflation. Chaque euro placé en obligations ou en or devra donc être compensé par des actions — c'est toute la tension entre l'objectif de 4 % et la limite de 15 %.</w:t>
      </w:r>
    </w:p>
    <w:p>
      <w:r>
        <w:br w:type="page"/>
      </w:r>
    </w:p>
    <w:p>
      <w:pPr>
        <w:pStyle w:val="Heading1"/>
        <w:spacing w:after="160" w:before="360"/>
      </w:pPr>
      <w:r>
        <w:t xml:space="preserve">4. Étape 3 — Le choix des supports</w:t>
      </w:r>
    </w:p>
    <w:p>
      <w:pPr>
        <w:pStyle w:val="Heading2"/>
        <w:spacing w:after="120" w:before="280"/>
      </w:pPr>
      <w:r>
        <w:t xml:space="preserve">4.1 Les actions européennes : 600 titres, 30 retenus</w:t>
      </w:r>
    </w:p>
    <w:p>
      <w:pPr>
        <w:spacing w:after="120" w:line="276"/>
        <w:jc w:val="both"/>
      </w:pPr>
      <w:r>
        <w:rPr>
          <w:b w:val="false"/>
          <w:bCs w:val="false"/>
        </w:rPr>
        <w:t xml:space="preserve">La poche européenne est construite </w:t>
      </w:r>
      <w:r>
        <w:rPr>
          <w:b/>
          <w:bCs/>
        </w:rPr>
        <w:t xml:space="preserve">titre par titre</w:t>
      </w:r>
      <w:r>
        <w:rPr>
          <w:b w:val="false"/>
          <w:bCs w:val="false"/>
        </w:rPr>
        <w:t xml:space="preserve">, pas achetée en indice. C'est le seul endroit du portefeuille où l'on prétend faire mieux que le marché, et c'est assumé : pour les autres zones, on achète l'indice.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rPr>
          <w:tblHeader/>
        </w:trPr>
        <w:tc>
          <w:tcPr>
            <w:tcW w:type="dxa" w:w="3600"/>
            <w:shd w:fill="14304F" w:val="clear"/>
            <w:tcMar>
              <w:top w:type="dxa" w:w="90"/>
              <w:left w:type="dxa" w:w="130"/>
              <w:bottom w:type="dxa" w:w="90"/>
              <w:right w:type="dxa" w:w="130"/>
            </w:tcMar>
          </w:tcPr>
          <w:p>
            <w:pPr>
              <w:jc w:val="left"/>
            </w:pPr>
            <w:r>
              <w:rPr>
                <w:b/>
                <w:bCs/>
                <w:color w:val="FFFFFF"/>
                <w:sz w:val="19"/>
                <w:szCs w:val="19"/>
              </w:rPr>
              <w:t xml:space="preserve">Étape du tri</w:t>
            </w:r>
          </w:p>
        </w:tc>
        <w:tc>
          <w:tcPr>
            <w:tcW w:type="dxa" w:w="1800"/>
            <w:shd w:fill="14304F" w:val="clear"/>
            <w:tcMar>
              <w:top w:type="dxa" w:w="90"/>
              <w:left w:type="dxa" w:w="130"/>
              <w:bottom w:type="dxa" w:w="90"/>
              <w:right w:type="dxa" w:w="130"/>
            </w:tcMar>
          </w:tcPr>
          <w:p>
            <w:pPr>
              <w:jc w:val="right"/>
            </w:pPr>
            <w:r>
              <w:rPr>
                <w:b/>
                <w:bCs/>
                <w:color w:val="FFFFFF"/>
                <w:sz w:val="19"/>
                <w:szCs w:val="19"/>
              </w:rPr>
              <w:t xml:space="preserve">Titres</w:t>
            </w:r>
          </w:p>
        </w:tc>
        <w:tc>
          <w:tcPr>
            <w:tcW w:type="dxa" w:w="3960"/>
            <w:shd w:fill="14304F" w:val="clear"/>
            <w:tcMar>
              <w:top w:type="dxa" w:w="90"/>
              <w:left w:type="dxa" w:w="130"/>
              <w:bottom w:type="dxa" w:w="90"/>
              <w:right w:type="dxa" w:w="130"/>
            </w:tcMar>
          </w:tcPr>
          <w:p>
            <w:pPr>
              <w:jc w:val="right"/>
            </w:pPr>
            <w:r>
              <w:rPr>
                <w:b/>
                <w:bCs/>
                <w:color w:val="FFFFFF"/>
                <w:sz w:val="19"/>
                <w:szCs w:val="19"/>
              </w:rPr>
              <w:t xml:space="preserve">Motif</w:t>
            </w:r>
          </w:p>
        </w:tc>
      </w:tr>
      <w:tr>
        <w:tc>
          <w:tcPr>
            <w:tcW w:type="dxa" w:w="3600"/>
            <w:shd w:fill="FFFFFF" w:val="clear"/>
            <w:tcMar>
              <w:top w:type="dxa" w:w="90"/>
              <w:left w:type="dxa" w:w="130"/>
              <w:bottom w:type="dxa" w:w="90"/>
              <w:right w:type="dxa" w:w="130"/>
            </w:tcMar>
          </w:tcPr>
          <w:p>
            <w:pPr>
              <w:jc w:val="left"/>
            </w:pPr>
            <w:r>
              <w:rPr>
                <w:b w:val="false"/>
                <w:bCs w:val="false"/>
                <w:sz w:val="19"/>
                <w:szCs w:val="19"/>
              </w:rPr>
              <w:t xml:space="preserve">Univers de départ</w:t>
            </w:r>
          </w:p>
        </w:tc>
        <w:tc>
          <w:tcPr>
            <w:tcW w:type="dxa" w:w="1800"/>
            <w:shd w:fill="FFFFFF" w:val="clear"/>
            <w:tcMar>
              <w:top w:type="dxa" w:w="90"/>
              <w:left w:type="dxa" w:w="130"/>
              <w:bottom w:type="dxa" w:w="90"/>
              <w:right w:type="dxa" w:w="130"/>
            </w:tcMar>
          </w:tcPr>
          <w:p>
            <w:pPr>
              <w:jc w:val="right"/>
            </w:pPr>
            <w:r>
              <w:rPr>
                <w:b w:val="false"/>
                <w:bCs w:val="false"/>
                <w:sz w:val="19"/>
                <w:szCs w:val="19"/>
              </w:rPr>
              <w:t xml:space="preserve">600</w:t>
            </w:r>
          </w:p>
        </w:tc>
        <w:tc>
          <w:tcPr>
            <w:tcW w:type="dxa" w:w="3960"/>
            <w:shd w:fill="FFFFFF" w:val="clear"/>
            <w:tcMar>
              <w:top w:type="dxa" w:w="90"/>
              <w:left w:type="dxa" w:w="130"/>
              <w:bottom w:type="dxa" w:w="90"/>
              <w:right w:type="dxa" w:w="130"/>
            </w:tcMar>
          </w:tcPr>
          <w:p>
            <w:pPr>
              <w:jc w:val="right"/>
            </w:pPr>
            <w:r>
              <w:rPr>
                <w:b w:val="false"/>
                <w:bCs w:val="false"/>
                <w:sz w:val="19"/>
                <w:szCs w:val="19"/>
              </w:rPr>
              <w:t xml:space="preserve">Grandes capitalisations européennes</w:t>
            </w:r>
          </w:p>
        </w:tc>
      </w:tr>
      <w:tr>
        <w:tc>
          <w:tcPr>
            <w:tcW w:type="dxa" w:w="3600"/>
            <w:shd w:fill="F7F8FA" w:val="clear"/>
            <w:tcMar>
              <w:top w:type="dxa" w:w="90"/>
              <w:left w:type="dxa" w:w="130"/>
              <w:bottom w:type="dxa" w:w="90"/>
              <w:right w:type="dxa" w:w="130"/>
            </w:tcMar>
          </w:tcPr>
          <w:p>
            <w:pPr>
              <w:jc w:val="left"/>
            </w:pPr>
            <w:r>
              <w:rPr>
                <w:b w:val="false"/>
                <w:bCs w:val="false"/>
                <w:sz w:val="19"/>
                <w:szCs w:val="19"/>
              </w:rPr>
              <w:t xml:space="preserve">Exclusions ESG</w:t>
            </w:r>
          </w:p>
        </w:tc>
        <w:tc>
          <w:tcPr>
            <w:tcW w:type="dxa" w:w="1800"/>
            <w:shd w:fill="F7F8FA" w:val="clear"/>
            <w:tcMar>
              <w:top w:type="dxa" w:w="90"/>
              <w:left w:type="dxa" w:w="130"/>
              <w:bottom w:type="dxa" w:w="90"/>
              <w:right w:type="dxa" w:w="130"/>
            </w:tcMar>
          </w:tcPr>
          <w:p>
            <w:pPr>
              <w:jc w:val="right"/>
            </w:pPr>
            <w:r>
              <w:rPr>
                <w:b w:val="false"/>
                <w:bCs w:val="false"/>
                <w:sz w:val="19"/>
                <w:szCs w:val="19"/>
              </w:rPr>
              <w:t xml:space="preserve">− 26</w:t>
            </w:r>
          </w:p>
        </w:tc>
        <w:tc>
          <w:tcPr>
            <w:tcW w:type="dxa" w:w="3960"/>
            <w:shd w:fill="F7F8FA" w:val="clear"/>
            <w:tcMar>
              <w:top w:type="dxa" w:w="90"/>
              <w:left w:type="dxa" w:w="130"/>
              <w:bottom w:type="dxa" w:w="90"/>
              <w:right w:type="dxa" w:w="130"/>
            </w:tcMar>
          </w:tcPr>
          <w:p>
            <w:pPr>
              <w:jc w:val="right"/>
            </w:pPr>
            <w:r>
              <w:rPr>
                <w:b w:val="false"/>
                <w:bCs w:val="false"/>
                <w:sz w:val="19"/>
                <w:szCs w:val="19"/>
              </w:rPr>
              <w:t xml:space="preserve">Armement 20, tabac 4, charbon 2</w:t>
            </w:r>
          </w:p>
        </w:tc>
      </w:tr>
      <w:tr>
        <w:tc>
          <w:tcPr>
            <w:tcW w:type="dxa" w:w="3600"/>
            <w:shd w:fill="FFFFFF" w:val="clear"/>
            <w:tcMar>
              <w:top w:type="dxa" w:w="90"/>
              <w:left w:type="dxa" w:w="130"/>
              <w:bottom w:type="dxa" w:w="90"/>
              <w:right w:type="dxa" w:w="130"/>
            </w:tcMar>
          </w:tcPr>
          <w:p>
            <w:pPr>
              <w:jc w:val="left"/>
            </w:pPr>
            <w:r>
              <w:rPr>
                <w:b w:val="false"/>
                <w:bCs w:val="false"/>
                <w:sz w:val="19"/>
                <w:szCs w:val="19"/>
              </w:rPr>
              <w:t xml:space="preserve">Non investissables</w:t>
            </w:r>
          </w:p>
        </w:tc>
        <w:tc>
          <w:tcPr>
            <w:tcW w:type="dxa" w:w="1800"/>
            <w:shd w:fill="FFFFFF" w:val="clear"/>
            <w:tcMar>
              <w:top w:type="dxa" w:w="90"/>
              <w:left w:type="dxa" w:w="130"/>
              <w:bottom w:type="dxa" w:w="90"/>
              <w:right w:type="dxa" w:w="130"/>
            </w:tcMar>
          </w:tcPr>
          <w:p>
            <w:pPr>
              <w:jc w:val="right"/>
            </w:pPr>
            <w:r>
              <w:rPr>
                <w:b w:val="false"/>
                <w:bCs w:val="false"/>
                <w:sz w:val="19"/>
                <w:szCs w:val="19"/>
              </w:rPr>
              <w:t xml:space="preserve">− 11</w:t>
            </w:r>
          </w:p>
        </w:tc>
        <w:tc>
          <w:tcPr>
            <w:tcW w:type="dxa" w:w="3960"/>
            <w:shd w:fill="FFFFFF" w:val="clear"/>
            <w:tcMar>
              <w:top w:type="dxa" w:w="90"/>
              <w:left w:type="dxa" w:w="130"/>
              <w:bottom w:type="dxa" w:w="90"/>
              <w:right w:type="dxa" w:w="130"/>
            </w:tcMar>
          </w:tcPr>
          <w:p>
            <w:pPr>
              <w:jc w:val="right"/>
            </w:pPr>
            <w:r>
              <w:rPr>
                <w:b w:val="false"/>
                <w:bCs w:val="false"/>
                <w:sz w:val="19"/>
                <w:szCs w:val="19"/>
              </w:rPr>
              <w:t xml:space="preserve">Liquidité ou données insuffisantes</w:t>
            </w:r>
          </w:p>
        </w:tc>
      </w:tr>
      <w:tr>
        <w:tc>
          <w:tcPr>
            <w:tcW w:type="dxa" w:w="3600"/>
            <w:shd w:fill="F7F8FA" w:val="clear"/>
            <w:tcMar>
              <w:top w:type="dxa" w:w="90"/>
              <w:left w:type="dxa" w:w="130"/>
              <w:bottom w:type="dxa" w:w="90"/>
              <w:right w:type="dxa" w:w="130"/>
            </w:tcMar>
          </w:tcPr>
          <w:p>
            <w:pPr>
              <w:jc w:val="left"/>
            </w:pPr>
            <w:r>
              <w:rPr>
                <w:b w:val="false"/>
                <w:bCs w:val="false"/>
                <w:sz w:val="19"/>
                <w:szCs w:val="19"/>
              </w:rPr>
              <w:t xml:space="preserve">Sous 10 Md€</w:t>
            </w:r>
          </w:p>
        </w:tc>
        <w:tc>
          <w:tcPr>
            <w:tcW w:type="dxa" w:w="1800"/>
            <w:shd w:fill="F7F8FA" w:val="clear"/>
            <w:tcMar>
              <w:top w:type="dxa" w:w="90"/>
              <w:left w:type="dxa" w:w="130"/>
              <w:bottom w:type="dxa" w:w="90"/>
              <w:right w:type="dxa" w:w="130"/>
            </w:tcMar>
          </w:tcPr>
          <w:p>
            <w:pPr>
              <w:jc w:val="right"/>
            </w:pPr>
            <w:r>
              <w:rPr>
                <w:b w:val="false"/>
                <w:bCs w:val="false"/>
                <w:sz w:val="19"/>
                <w:szCs w:val="19"/>
              </w:rPr>
              <w:t xml:space="preserve">− 262</w:t>
            </w:r>
          </w:p>
        </w:tc>
        <w:tc>
          <w:tcPr>
            <w:tcW w:type="dxa" w:w="3960"/>
            <w:shd w:fill="F7F8FA" w:val="clear"/>
            <w:tcMar>
              <w:top w:type="dxa" w:w="90"/>
              <w:left w:type="dxa" w:w="130"/>
              <w:bottom w:type="dxa" w:w="90"/>
              <w:right w:type="dxa" w:w="130"/>
            </w:tcMar>
          </w:tcPr>
          <w:p>
            <w:pPr>
              <w:jc w:val="right"/>
            </w:pPr>
            <w:r>
              <w:rPr>
                <w:b w:val="false"/>
                <w:bCs w:val="false"/>
                <w:sz w:val="19"/>
                <w:szCs w:val="19"/>
              </w:rPr>
              <w:t xml:space="preserve">Grandes capitalisations seulement</w:t>
            </w:r>
          </w:p>
        </w:tc>
      </w:tr>
      <w:tr>
        <w:tc>
          <w:tcPr>
            <w:tcW w:type="dxa" w:w="3600"/>
            <w:shd w:fill="FFFFFF" w:val="clear"/>
            <w:tcMar>
              <w:top w:type="dxa" w:w="90"/>
              <w:left w:type="dxa" w:w="130"/>
              <w:bottom w:type="dxa" w:w="90"/>
              <w:right w:type="dxa" w:w="130"/>
            </w:tcMar>
          </w:tcPr>
          <w:p>
            <w:pPr>
              <w:jc w:val="left"/>
            </w:pPr>
            <w:r>
              <w:rPr>
                <w:b w:val="false"/>
                <w:bCs w:val="false"/>
                <w:sz w:val="19"/>
                <w:szCs w:val="19"/>
              </w:rPr>
              <w:t xml:space="preserve">Notés</w:t>
            </w:r>
          </w:p>
        </w:tc>
        <w:tc>
          <w:tcPr>
            <w:tcW w:type="dxa" w:w="1800"/>
            <w:shd w:fill="FFFFFF" w:val="clear"/>
            <w:tcMar>
              <w:top w:type="dxa" w:w="90"/>
              <w:left w:type="dxa" w:w="130"/>
              <w:bottom w:type="dxa" w:w="90"/>
              <w:right w:type="dxa" w:w="130"/>
            </w:tcMar>
          </w:tcPr>
          <w:p>
            <w:pPr>
              <w:jc w:val="right"/>
            </w:pPr>
            <w:r>
              <w:rPr>
                <w:b w:val="false"/>
                <w:bCs w:val="false"/>
                <w:sz w:val="19"/>
                <w:szCs w:val="19"/>
              </w:rPr>
              <w:t xml:space="preserve">300</w:t>
            </w:r>
          </w:p>
        </w:tc>
        <w:tc>
          <w:tcPr>
            <w:tcW w:type="dxa" w:w="3960"/>
            <w:shd w:fill="FFFFFF" w:val="clear"/>
            <w:tcMar>
              <w:top w:type="dxa" w:w="90"/>
              <w:left w:type="dxa" w:w="130"/>
              <w:bottom w:type="dxa" w:w="90"/>
              <w:right w:type="dxa" w:w="130"/>
            </w:tcMar>
          </w:tcPr>
          <w:p>
            <w:pPr>
              <w:jc w:val="right"/>
            </w:pPr>
            <w:r>
              <w:rPr>
                <w:b w:val="false"/>
                <w:bCs w:val="false"/>
                <w:sz w:val="19"/>
                <w:szCs w:val="19"/>
              </w:rPr>
              <w:t xml:space="preserve">Cinq piliers, au sein du secteur</w:t>
            </w:r>
          </w:p>
        </w:tc>
      </w:tr>
      <w:tr>
        <w:tc>
          <w:tcPr>
            <w:tcW w:type="dxa" w:w="3600"/>
            <w:shd w:fill="F7F8FA" w:val="clear"/>
            <w:tcMar>
              <w:top w:type="dxa" w:w="90"/>
              <w:left w:type="dxa" w:w="130"/>
              <w:bottom w:type="dxa" w:w="90"/>
              <w:right w:type="dxa" w:w="130"/>
            </w:tcMar>
          </w:tcPr>
          <w:p>
            <w:pPr>
              <w:jc w:val="left"/>
            </w:pPr>
            <w:r>
              <w:rPr>
                <w:b w:val="false"/>
                <w:bCs w:val="false"/>
                <w:sz w:val="19"/>
                <w:szCs w:val="19"/>
              </w:rPr>
              <w:t xml:space="preserve"/>
            </w:r>
            <w:r>
              <w:rPr>
                <w:b/>
                <w:bCs/>
                <w:sz w:val="19"/>
                <w:szCs w:val="19"/>
              </w:rPr>
              <w:t xml:space="preserve">Retenus</w:t>
            </w:r>
            <w:r>
              <w:rPr>
                <w:b w:val="false"/>
                <w:bCs w:val="false"/>
                <w:sz w:val="19"/>
                <w:szCs w:val="19"/>
              </w:rPr>
              <w:t xml:space="preserve"/>
            </w:r>
          </w:p>
        </w:tc>
        <w:tc>
          <w:tcPr>
            <w:tcW w:type="dxa" w:w="1800"/>
            <w:shd w:fill="F7F8FA" w:val="clear"/>
            <w:tcMar>
              <w:top w:type="dxa" w:w="90"/>
              <w:left w:type="dxa" w:w="130"/>
              <w:bottom w:type="dxa" w:w="90"/>
              <w:right w:type="dxa" w:w="130"/>
            </w:tcMar>
          </w:tcPr>
          <w:p>
            <w:pPr>
              <w:jc w:val="right"/>
            </w:pPr>
            <w:r>
              <w:rPr>
                <w:b w:val="false"/>
                <w:bCs w:val="false"/>
                <w:sz w:val="19"/>
                <w:szCs w:val="19"/>
              </w:rPr>
              <w:t xml:space="preserve"/>
            </w:r>
            <w:r>
              <w:rPr>
                <w:b/>
                <w:bCs/>
                <w:sz w:val="19"/>
                <w:szCs w:val="19"/>
              </w:rPr>
              <w:t xml:space="preserve">30</w:t>
            </w:r>
            <w:r>
              <w:rPr>
                <w:b w:val="false"/>
                <w:bCs w:val="false"/>
                <w:sz w:val="19"/>
                <w:szCs w:val="19"/>
              </w:rPr>
              <w:t xml:space="preserve"/>
            </w:r>
          </w:p>
        </w:tc>
        <w:tc>
          <w:tcPr>
            <w:tcW w:type="dxa" w:w="3960"/>
            <w:shd w:fill="F7F8FA" w:val="clear"/>
            <w:tcMar>
              <w:top w:type="dxa" w:w="90"/>
              <w:left w:type="dxa" w:w="130"/>
              <w:bottom w:type="dxa" w:w="90"/>
              <w:right w:type="dxa" w:w="130"/>
            </w:tcMar>
          </w:tcPr>
          <w:p>
            <w:pPr>
              <w:jc w:val="right"/>
            </w:pPr>
            <w:r>
              <w:rPr>
                <w:b w:val="false"/>
                <w:bCs w:val="false"/>
                <w:sz w:val="19"/>
                <w:szCs w:val="19"/>
              </w:rPr>
              <w:t xml:space="preserve">À parts égales</w:t>
            </w:r>
          </w:p>
        </w:tc>
      </w:tr>
    </w:tbl>
    <w:p>
      <w:pPr>
        <w:spacing w:after="160"/>
      </w:pPr>
    </w:p>
    <w:p>
      <w:pPr>
        <w:pStyle w:val="Heading3"/>
        <w:spacing w:after="100" w:before="200"/>
      </w:pPr>
      <w:r>
        <w:t xml:space="preserve">La notation : cinq piliers à poids égaux</w:t>
      </w:r>
    </w:p>
    <w:p>
      <w:pPr>
        <w:spacing w:after="120" w:line="276"/>
        <w:jc w:val="both"/>
      </w:pPr>
      <w:r>
        <w:rPr>
          <w:b w:val="false"/>
          <w:bCs w:val="false"/>
        </w:rPr>
        <w:t xml:space="preserve">Valorisation, Croissance, Dynamique, Qualité, </w:t>
      </w:r>
      <w:r>
        <w:rPr>
          <w:b/>
          <w:bCs/>
        </w:rPr>
        <w:t xml:space="preserve">Résistance</w:t>
      </w:r>
      <w:r>
        <w:rPr>
          <w:b w:val="false"/>
          <w:bCs w:val="false"/>
        </w:rPr>
        <w:t xml:space="preserve">. Le cinquième a été ajouté spécifiquement pour ce mandat : la limite de perte se tient au niveau du portefeuille, mais un panier d'actions qui baisse moins en crise permet d'en détenir davantage pour la même limite. Poids égaux (20 % chacun) parce qu'aucun pilier n'a de raison mesurée d'être privilégié.</w:t>
      </w:r>
    </w:p>
    <w:p>
      <w:pPr>
        <w:spacing w:after="120" w:line="276"/>
        <w:jc w:val="both"/>
      </w:pPr>
      <w:r>
        <w:rPr>
          <w:b w:val="false"/>
          <w:bCs w:val="false"/>
        </w:rPr>
        <w:t xml:space="preserve"/>
      </w:r>
      <w:r>
        <w:rPr>
          <w:b/>
          <w:bCs/>
        </w:rPr>
        <w:t xml:space="preserve">Les notes sont calculées au sein de chaque secteur.</w:t>
      </w:r>
      <w:r>
        <w:rPr>
          <w:b w:val="false"/>
          <w:bCs w:val="false"/>
        </w:rPr>
        <w:t xml:space="preserve"> Une banque ne se compare pas à un éditeur de logiciels : leurs PER et leurs marges n'ont pas le même sens. Chaque indicateur est orienté pour que « plus haut = mieux », borné pour détecter les données fausses, écrêté aux 5e et 95e percentiles pour qu'un chiffre extrême ne fasse pas la note à lui seul, puis transformé en écart-type au sein du secteur.</w:t>
      </w:r>
    </w:p>
    <w:tbl>
      <w:tblPr>
        <w:tblW w:type="dxa" w:w="9360"/>
        <w:tblBorders>
          <w:top w:val="single" w:color="C9CFD6" w:sz="2"/>
          <w:left w:val="single" w:color="14304F" w:sz="12"/>
          <w:bottom w:val="single" w:color="C9CFD6" w:sz="2"/>
          <w:right w:val="single" w:color="C9CFD6" w:sz="2"/>
          <w:insideH w:val="none"/>
          <w:insideV w:val="none"/>
        </w:tblBorders>
      </w:tblPr>
      <w:tblGrid>
        <w:gridCol w:w="9360"/>
      </w:tblGrid>
      <w:tr>
        <w:tc>
          <w:tcPr>
            <w:tcW w:type="dxa" w:w="9360"/>
            <w:shd w:fill="F2F4F7" w:val="clear"/>
            <w:tcMar>
              <w:top w:type="dxa" w:w="160"/>
              <w:left w:type="dxa" w:w="200"/>
              <w:bottom w:type="dxa" w:w="160"/>
              <w:right w:type="dxa" w:w="200"/>
            </w:tcMar>
          </w:tcPr>
          <w:p>
            <w:pPr>
              <w:spacing w:after="80"/>
            </w:pPr>
            <w:r>
              <w:rPr>
                <w:b/>
                <w:bCs/>
                <w:color w:val="14304F"/>
              </w:rPr>
              <w:t xml:space="preserve">Deux corrections qui montrent que le tri a été vérifié</w:t>
            </w:r>
          </w:p>
          <w:p>
            <w:pPr>
              <w:spacing w:after="120" w:line="276"/>
              <w:jc w:val="both"/>
            </w:pPr>
            <w:r>
              <w:rPr>
                <w:b w:val="false"/>
                <w:bCs w:val="false"/>
              </w:rPr>
              <w:t xml:space="preserve"/>
            </w:r>
            <w:r>
              <w:rPr>
                <w:b/>
                <w:bCs/>
              </w:rPr>
              <w:t xml:space="preserve">Les sociétés d'investissement cotées</w:t>
            </w:r>
            <w:r>
              <w:rPr>
                <w:b w:val="false"/>
                <w:bCs w:val="false"/>
              </w:rPr>
              <w:t xml:space="preserve"> (Investor, Industrivärden, Exor, Sofina, 3i…) arrivaient en tête du classement. Leur bénéfice comptable inclut la réévaluation de leurs participations : PER, rentabilité et croissance n'ont pas le sens qu'ils ont ailleurs. Elles restent dans l'univers mais sortent de la notation.</w:t>
            </w:r>
          </w:p>
          <w:p>
            <w:pPr>
              <w:spacing w:after="120" w:line="276"/>
              <w:jc w:val="both"/>
            </w:pPr>
            <w:r>
              <w:rPr>
                <w:b w:val="false"/>
                <w:bCs w:val="false"/>
              </w:rPr>
              <w:t xml:space="preserve"/>
            </w:r>
            <w:r>
              <w:rPr>
                <w:b/>
                <w:bCs/>
              </w:rPr>
              <w:t xml:space="preserve">Les bornes de plausibilité</w:t>
            </w:r>
            <w:r>
              <w:rPr>
                <w:b w:val="false"/>
                <w:bCs w:val="false"/>
              </w:rPr>
              <w:t xml:space="preserve"> ont attrapé des PER multipliés par cent, Yahoo confondant pence et livres sur les valeurs britanniques ; et l'écrêtage a neutralisé une croissance de bénéfices à −91 % chez Sanofi due à des éléments exceptionnels.</w:t>
            </w:r>
          </w:p>
        </w:tc>
      </w:tr>
    </w:tbl>
    <w:p>
      <w:pPr>
        <w:spacing w:after="120" w:line="276"/>
        <w:jc w:val="both"/>
      </w:pPr>
      <w:r>
        <w:rPr>
          <w:b w:val="false"/>
          <w:bCs w:val="false"/>
        </w:rPr>
        <w:t xml:space="preserve">Résultat : 30 titres, 10 secteurs, 10 pays, à parts égales. Volatilité sur 3 ans de 10,4 % contre 12,8 % pour le STOXX Europe 600 ; perte de 12,8 % en 2022 contre 18,4 % pour l'indice. </w:t>
      </w:r>
      <w:r>
        <w:rPr>
          <w:b/>
          <w:bCs/>
        </w:rPr>
        <w:t xml:space="preserve">Mais en crise il perd bien plus que 15 %</w:t>
      </w:r>
      <w:r>
        <w:rPr>
          <w:b w:val="false"/>
          <w:bCs w:val="false"/>
        </w:rPr>
        <w:t xml:space="preserve"> : c'est le dosage avec les obligations et l'or, à l'étape 4, qui tient la limite.</w:t>
      </w:r>
    </w:p>
    <w:p>
      <w:pPr>
        <w:pStyle w:val="Heading2"/>
        <w:spacing w:after="120" w:before="280"/>
      </w:pPr>
      <w:r>
        <w:t xml:space="preserve">4.2 Les obligations d'État : achetées en direct</w:t>
      </w:r>
    </w:p>
    <w:p>
      <w:pPr>
        <w:spacing w:after="120" w:line="276"/>
        <w:jc w:val="both"/>
      </w:pPr>
      <w:r>
        <w:rPr>
          <w:b w:val="false"/>
          <w:bCs w:val="false"/>
        </w:rPr>
        <w:t xml:space="preserve">Pas de frais de gestion, et la date et le montant de chaque remboursement connus d'avance. Deux échelles.</w:t>
      </w:r>
    </w:p>
    <w:p>
      <w:pPr>
        <w:pStyle w:val="ListParagraph"/>
        <w:numPr>
          <w:ilvl w:val="0"/>
          <w:numId w:val="2"/>
        </w:numPr>
        <w:spacing w:after="80" w:line="276"/>
      </w:pPr>
      <w:r>
        <w:rPr>
          <w:b w:val="false"/>
          <w:bCs w:val="false"/>
        </w:rPr>
        <w:t xml:space="preserve"/>
      </w:r>
      <w:r>
        <w:rPr>
          <w:b/>
          <w:bCs/>
        </w:rPr>
        <w:t xml:space="preserve">Les 10 M€ à décaisser</w:t>
      </w:r>
      <w:r>
        <w:rPr>
          <w:b w:val="false"/>
          <w:bCs w:val="false"/>
        </w:rPr>
        <w:t xml:space="preserve"> : une échelle AAA (Allemagne, Pays-Bas) en quatre tranches de 2,5 M€ à 6, 12, 18 et 24 mois, aux taux garantis de 2,75 % à 3,22 %. Coût d'achat 9,63 M€ aujourd'hui, soit 78 k€ économisés face au monétaire.</w:t>
      </w:r>
    </w:p>
    <w:p>
      <w:pPr>
        <w:pStyle w:val="ListParagraph"/>
        <w:numPr>
          <w:ilvl w:val="0"/>
          <w:numId w:val="2"/>
        </w:numPr>
        <w:spacing w:after="80" w:line="276"/>
      </w:pPr>
      <w:r>
        <w:rPr>
          <w:b w:val="false"/>
          <w:bCs w:val="false"/>
        </w:rPr>
        <w:t xml:space="preserve"/>
      </w:r>
      <w:r>
        <w:rPr>
          <w:b/>
          <w:bCs/>
        </w:rPr>
        <w:t xml:space="preserve">La poche longue</w:t>
      </w:r>
      <w:r>
        <w:rPr>
          <w:b w:val="false"/>
          <w:bCs w:val="false"/>
        </w:rPr>
        <w:t xml:space="preserve"> : une échelle 2-3-5-7-10 ans sur toute la zone euro, rendement moyen 3,63 %, sensibilité −4,7 % si les taux montent d'un point. Allonger au-delà de dix ans rapporte peu et expose beaucoup.</w:t>
      </w:r>
    </w:p>
    <w:p>
      <w:pPr>
        <w:pStyle w:val="Heading2"/>
        <w:spacing w:after="120" w:before="280"/>
      </w:pPr>
      <w:r>
        <w:t xml:space="preserve">4.3 Le crédit : pourquoi il pèse si peu</w:t>
      </w:r>
    </w:p>
    <w:p>
      <w:pPr>
        <w:spacing w:after="120" w:line="276"/>
        <w:jc w:val="both"/>
      </w:pPr>
      <w:r>
        <w:rPr>
          <w:b w:val="false"/>
          <w:bCs w:val="false"/>
        </w:rPr>
        <w:t xml:space="preserve">La prime de crédit n'a presque jamais été aussi basse : elle n'a été inférieure à son niveau actuel que </w:t>
      </w:r>
      <w:r>
        <w:rPr>
          <w:b/>
          <w:bCs/>
        </w:rPr>
        <w:t xml:space="preserve">2 % du temps en quarante ans</w:t>
      </w:r>
      <w:r>
        <w:rPr>
          <w:b w:val="false"/>
          <w:bCs w:val="false"/>
        </w:rPr>
        <w:t xml:space="preserve"> (Moody's Baa depuis 1986). Une remontée d'un point coûterait 4,3 % au crédit euro, soit plus d'un an de rendement. Peu à gagner, beaucoup à perdre. Le fonds retenu rapporte 0,24 point de plus qu'un État de même échéance, 0,13 point après défauts. </w:t>
      </w:r>
      <w:r>
        <w:rPr>
          <w:b/>
          <w:bCs/>
        </w:rPr>
        <w:t xml:space="preserve">Sa place ne pouvait être que modeste, et le calcul l'a ramenée à zéro.</w:t>
      </w:r>
      <w:r>
        <w:rPr>
          <w:b w:val="false"/>
          <w:bCs w:val="false"/>
        </w:rPr>
        <w:t xml:space="preserve"/>
      </w:r>
    </w:p>
    <w:p>
      <w:pPr>
        <w:pStyle w:val="Heading2"/>
        <w:spacing w:after="120" w:before="280"/>
      </w:pPr>
      <w:r>
        <w:t xml:space="preserve">4.4 Les fonds, et la question de la couverture de change</w:t>
      </w:r>
    </w:p>
    <w:p>
      <w:pPr>
        <w:spacing w:after="120" w:line="276"/>
        <w:jc w:val="both"/>
      </w:pPr>
      <w:r>
        <w:rPr>
          <w:b w:val="false"/>
          <w:bCs w:val="false"/>
        </w:rPr>
        <w:t xml:space="preserve">Pour les classes non investies en direct, des ETF UCITS. Deux points de méthode.</w:t>
      </w:r>
    </w:p>
    <w:p>
      <w:pPr>
        <w:spacing w:after="120" w:line="276"/>
        <w:jc w:val="both"/>
      </w:pPr>
      <w:r>
        <w:rPr>
          <w:b w:val="false"/>
          <w:bCs w:val="false"/>
        </w:rPr>
        <w:t xml:space="preserve"/>
      </w:r>
      <w:r>
        <w:rPr>
          <w:b/>
          <w:bCs/>
        </w:rPr>
        <w:t xml:space="preserve">Les exclusions ESG ont été lues dans les méthodologies MSCI, pas déduites des noms de fonds.</w:t>
      </w:r>
      <w:r>
        <w:rPr>
          <w:b w:val="false"/>
          <w:bCs w:val="false"/>
        </w:rPr>
        <w:t xml:space="preserve"> Un fonds « ESG Screened » exclut les armes controversées, le tabac et le charbon, mais </w:t>
      </w:r>
      <w:r>
        <w:rPr>
          <w:b/>
          <w:bCs/>
        </w:rPr>
        <w:t xml:space="preserve">pas</w:t>
      </w:r>
      <w:r>
        <w:rPr>
          <w:b w:val="false"/>
          <w:bCs w:val="false"/>
        </w:rPr>
        <w:t xml:space="preserve"> l'armement conventionnel — alors que la sélection en direct exclut tout le secteur défense. Un fonds Screened aurait donc contredit la règle appliquée aux titres. Les fonds retenus sont des « Low Carbon SRI Selection », plus stricts que le mandat.</w:t>
      </w:r>
    </w:p>
    <w:p>
      <w:pPr>
        <w:spacing w:after="120" w:line="276"/>
        <w:jc w:val="both"/>
      </w:pPr>
      <w:r>
        <w:rPr>
          <w:b w:val="false"/>
          <w:bCs w:val="false"/>
        </w:rPr>
        <w:t xml:space="preserve"/>
      </w:r>
      <w:r>
        <w:rPr>
          <w:b/>
          <w:bCs/>
        </w:rPr>
        <w:t xml:space="preserve">La couverture de change coûte environ 1,70 % par an</w:t>
      </w:r>
      <w:r>
        <w:rPr>
          <w:b w:val="false"/>
          <w:bCs w:val="false"/>
        </w:rPr>
        <w:t xml:space="preserve"> au niveau actuel des écarts de taux. C'est ce qui transforme un Trésor américain à 10 ans de 5,01 % en 3,31 % une fois ramené en euros — sous le rendement d'un État de la zone euro. La couverture est donc appliquée aux obligations étrangères, qu'elle rend inintéressantes, et </w:t>
      </w:r>
      <w:r>
        <w:rPr>
          <w:b/>
          <w:bCs/>
        </w:rPr>
        <w:t xml:space="preserve">pas</w:t>
      </w:r>
      <w:r>
        <w:rPr>
          <w:b w:val="false"/>
          <w:bCs w:val="false"/>
        </w:rPr>
        <w:t xml:space="preserve"> aux actions, dont elle absorberait une part excessive du rendement espéré.</w:t>
      </w:r>
    </w:p>
    <w:p>
      <w:r>
        <w:br w:type="page"/>
      </w:r>
    </w:p>
    <w:p>
      <w:pPr>
        <w:pStyle w:val="Heading1"/>
        <w:spacing w:after="160" w:before="360"/>
      </w:pPr>
      <w:r>
        <w:t xml:space="preserve">5. Étape 4 — Le modèle d'allocation</w:t>
      </w:r>
    </w:p>
    <w:p>
      <w:pPr>
        <w:pStyle w:val="Heading2"/>
        <w:spacing w:after="120" w:before="280"/>
      </w:pPr>
      <w:r>
        <w:t xml:space="preserve">5.1 Le problème, écrit</w:t>
      </w:r>
    </w:p>
    <w:p>
      <w:pPr>
        <w:spacing w:after="120" w:line="276"/>
        <w:jc w:val="both"/>
      </w:pPr>
      <w:r>
        <w:rPr>
          <w:b w:val="false"/>
          <w:bCs w:val="false"/>
        </w:rPr>
        <w:t xml:space="preserve">On cherche les poids qui </w:t>
      </w:r>
      <w:r>
        <w:rPr>
          <w:b/>
          <w:bCs/>
        </w:rPr>
        <w:t xml:space="preserve">maximisent le rendement espéré</w:t>
      </w:r>
      <w:r>
        <w:rPr>
          <w:b w:val="false"/>
          <w:bCs w:val="false"/>
        </w:rPr>
        <w:t xml:space="preserve"> sous une exigence de risque, poids positifs, somme égale à 100 %, bitcoin hors calcul.</w:t>
      </w:r>
    </w:p>
    <w:p>
      <w:pPr>
        <w:pStyle w:val="ListParagraph"/>
        <w:numPr>
          <w:ilvl w:val="0"/>
          <w:numId w:val="2"/>
        </w:numPr>
        <w:spacing w:after="80" w:line="276"/>
      </w:pPr>
      <w:r>
        <w:rPr>
          <w:b w:val="false"/>
          <w:bCs w:val="false"/>
        </w:rPr>
        <w:t xml:space="preserve"/>
      </w:r>
      <w:r>
        <w:rPr>
          <w:b/>
          <w:bCs/>
        </w:rPr>
        <w:t xml:space="preserve">Fonction objectif</w:t>
      </w:r>
      <w:r>
        <w:rPr>
          <w:b w:val="false"/>
          <w:bCs w:val="false"/>
        </w:rPr>
        <w:t xml:space="preserve"> : le produit des poids par les rendements espérés de l'étape 2. Elle est linéaire.</w:t>
      </w:r>
    </w:p>
    <w:p>
      <w:pPr>
        <w:pStyle w:val="ListParagraph"/>
        <w:numPr>
          <w:ilvl w:val="0"/>
          <w:numId w:val="2"/>
        </w:numPr>
        <w:spacing w:after="80" w:line="276"/>
      </w:pPr>
      <w:r>
        <w:rPr>
          <w:b w:val="false"/>
          <w:bCs w:val="false"/>
        </w:rPr>
        <w:t xml:space="preserve"/>
      </w:r>
      <w:r>
        <w:rPr>
          <w:b/>
          <w:bCs/>
        </w:rPr>
        <w:t xml:space="preserve">Contrainte de risque</w:t>
      </w:r>
      <w:r>
        <w:rPr>
          <w:b w:val="false"/>
          <w:bCs w:val="false"/>
        </w:rPr>
        <w:t xml:space="preserve"> : le portefeuille, rééquilibré chaque mois, ne doit jamais avoir perdu plus de 15 % depuis son plus haut sur les séries d'octobre 2006 à septembre 2026.</w:t>
      </w:r>
    </w:p>
    <w:p>
      <w:pPr>
        <w:pStyle w:val="Heading2"/>
        <w:spacing w:after="120" w:before="280"/>
      </w:pPr>
      <w:r>
        <w:t xml:space="preserve">5.2 Pourquoi pas Markowitz</w:t>
      </w:r>
    </w:p>
    <w:tbl>
      <w:tblPr>
        <w:tblW w:type="dxa" w:w="9360"/>
        <w:tblBorders>
          <w:top w:val="single" w:color="C9CFD6" w:sz="2"/>
          <w:left w:val="single" w:color="14304F" w:sz="12"/>
          <w:bottom w:val="single" w:color="C9CFD6" w:sz="2"/>
          <w:right w:val="single" w:color="C9CFD6" w:sz="2"/>
          <w:insideH w:val="none"/>
          <w:insideV w:val="none"/>
        </w:tblBorders>
      </w:tblPr>
      <w:tblGrid>
        <w:gridCol w:w="9360"/>
      </w:tblGrid>
      <w:tr>
        <w:tc>
          <w:tcPr>
            <w:tcW w:type="dxa" w:w="9360"/>
            <w:shd w:fill="F2F4F7" w:val="clear"/>
            <w:tcMar>
              <w:top w:type="dxa" w:w="160"/>
              <w:left w:type="dxa" w:w="200"/>
              <w:bottom w:type="dxa" w:w="160"/>
              <w:right w:type="dxa" w:w="200"/>
            </w:tcMar>
          </w:tcPr>
          <w:p>
            <w:pPr>
              <w:spacing w:after="80"/>
            </w:pPr>
            <w:r>
              <w:rPr>
                <w:b/>
                <w:bCs/>
                <w:color w:val="14304F"/>
              </w:rPr>
              <w:t xml:space="preserve">La question sera posée, voici la réponse</w:t>
            </w:r>
          </w:p>
          <w:p>
            <w:pPr>
              <w:spacing w:after="120" w:line="276"/>
              <w:jc w:val="both"/>
            </w:pPr>
            <w:r>
              <w:rPr>
                <w:b w:val="false"/>
                <w:bCs w:val="false"/>
              </w:rPr>
              <w:t xml:space="preserve">La contrainte du client n'est pas une volatilité, c'est une </w:t>
            </w:r>
            <w:r>
              <w:rPr>
                <w:b/>
                <w:bCs/>
              </w:rPr>
              <w:t xml:space="preserve">perte maximale depuis le plus haut</w:t>
            </w:r>
            <w:r>
              <w:rPr>
                <w:b w:val="false"/>
                <w:bCs w:val="false"/>
              </w:rPr>
              <w:t xml:space="preserve">. Ce n'est pas la même chose : une perte maximale est un maximum le long d'un chemin, elle dépend de l'ordre dans lequel les rendements arrivent. Elle ne se déduit pas d'une matrice de covariance, qui ignore l'ordre.</w:t>
            </w:r>
          </w:p>
          <w:p>
            <w:pPr>
              <w:spacing w:after="120" w:line="276"/>
              <w:jc w:val="both"/>
            </w:pPr>
            <w:r>
              <w:rPr>
                <w:b w:val="false"/>
                <w:bCs w:val="false"/>
              </w:rPr>
              <w:t xml:space="preserve">Optimiser une variance puis espérer que la perte maximale suive aurait été un raccourci non vérifié. On optimise donc </w:t>
            </w:r>
            <w:r>
              <w:rPr>
                <w:b/>
                <w:bCs/>
              </w:rPr>
              <w:t xml:space="preserve">directement sur le chemin historique</w:t>
            </w:r>
            <w:r>
              <w:rPr>
                <w:b w:val="false"/>
                <w:bCs w:val="false"/>
              </w:rPr>
              <w:t xml:space="preserve">.</w:t>
            </w:r>
          </w:p>
          <w:p>
            <w:pPr>
              <w:spacing w:after="120" w:line="276"/>
              <w:jc w:val="both"/>
            </w:pPr>
            <w:r>
              <w:rPr>
                <w:b w:val="false"/>
                <w:bCs w:val="false"/>
              </w:rPr>
              <w:t xml:space="preserve">Le prix de ce choix est réel et il est payé explicitement : le calcul apprend le passé par cœur. C'est pourquoi le résultat brut est rejeté et corrigé par des règles (§ 5.4). Black-Litterman a été écarté pour une autre raison : les vues de l'étape 2 sont déjà dans les rendements espérés, les y réinjecter serait les compter deux fois.</w:t>
            </w:r>
          </w:p>
        </w:tc>
      </w:tr>
    </w:tbl>
    <w:p>
      <w:pPr>
        <w:pStyle w:val="Heading2"/>
        <w:spacing w:after="120" w:before="280"/>
      </w:pPr>
      <w:r>
        <w:t xml:space="preserve">5.3 La résolution</w:t>
      </w:r>
    </w:p>
    <w:p>
      <w:pPr>
        <w:spacing w:after="120" w:line="276"/>
        <w:jc w:val="both"/>
      </w:pPr>
      <w:r>
        <w:rPr>
          <w:b w:val="false"/>
          <w:bCs w:val="false"/>
        </w:rPr>
        <w:t xml:space="preserve">La pire baisse n'est pas une fonction lisse des poids : un optimiseur à base de gradient peut s'arrêter sur un mauvais point. On part donc de </w:t>
      </w:r>
      <w:r>
        <w:rPr>
          <w:b/>
          <w:bCs/>
        </w:rPr>
        <w:t xml:space="preserve">seize répartitions tirées au hasard</w:t>
      </w:r>
      <w:r>
        <w:rPr>
          <w:b w:val="false"/>
          <w:bCs w:val="false"/>
        </w:rPr>
        <w:t xml:space="preserve"> (loi de Dirichlet, graine fixée à 0, donc reproductible), on résout chacune par SLSQP, et on garde le meilleur résultat qui respecte la limite. Le rééquilibrage mensuel est évalué en matrices pour que l'optimiseur puisse l'appeler des milliers de fois.</w:t>
      </w:r>
    </w:p>
    <w:p>
      <w:pPr>
        <w:pStyle w:val="Heading2"/>
        <w:spacing w:after="120" w:before="280"/>
      </w:pPr>
      <w:r>
        <w:t xml:space="preserve">5.4 Les règles, une par une, et ce qu'elles coûtent</w:t>
      </w:r>
    </w:p>
    <w:p>
      <w:pPr>
        <w:spacing w:after="120" w:line="276"/>
        <w:jc w:val="both"/>
      </w:pPr>
      <w:r>
        <w:rPr>
          <w:b w:val="false"/>
          <w:bCs w:val="false"/>
        </w:rPr>
        <w:t xml:space="preserve">Le calcul libre est relancé en ajoutant une règle à la fois, chaque ligne gardant les précédentes. C'est le tableau le plus important du dossier : il chiffre le prix de chaque précaution.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100"/>
        <w:gridCol w:w="1000"/>
        <w:gridCol w:w="4360"/>
      </w:tblGrid>
      <w:tr>
        <w:trPr>
          <w:tblHeader/>
        </w:trPr>
        <w:tc>
          <w:tcPr>
            <w:tcW w:type="dxa" w:w="2900"/>
            <w:shd w:fill="14304F" w:val="clear"/>
            <w:tcMar>
              <w:top w:type="dxa" w:w="90"/>
              <w:left w:type="dxa" w:w="130"/>
              <w:bottom w:type="dxa" w:w="90"/>
              <w:right w:type="dxa" w:w="130"/>
            </w:tcMar>
          </w:tcPr>
          <w:p>
            <w:pPr>
              <w:jc w:val="left"/>
            </w:pPr>
            <w:r>
              <w:rPr>
                <w:b/>
                <w:bCs/>
                <w:color w:val="FFFFFF"/>
                <w:sz w:val="19"/>
                <w:szCs w:val="19"/>
              </w:rPr>
              <w:t xml:space="preserve">Règle ajoutée</w:t>
            </w:r>
          </w:p>
        </w:tc>
        <w:tc>
          <w:tcPr>
            <w:tcW w:type="dxa" w:w="1100"/>
            <w:shd w:fill="14304F" w:val="clear"/>
            <w:tcMar>
              <w:top w:type="dxa" w:w="90"/>
              <w:left w:type="dxa" w:w="130"/>
              <w:bottom w:type="dxa" w:w="90"/>
              <w:right w:type="dxa" w:w="130"/>
            </w:tcMar>
          </w:tcPr>
          <w:p>
            <w:pPr>
              <w:jc w:val="right"/>
            </w:pPr>
            <w:r>
              <w:rPr>
                <w:b/>
                <w:bCs/>
                <w:color w:val="FFFFFF"/>
                <w:sz w:val="19"/>
                <w:szCs w:val="19"/>
              </w:rPr>
              <w:t xml:space="preserve">Rdt</w:t>
            </w:r>
          </w:p>
        </w:tc>
        <w:tc>
          <w:tcPr>
            <w:tcW w:type="dxa" w:w="1000"/>
            <w:shd w:fill="14304F" w:val="clear"/>
            <w:tcMar>
              <w:top w:type="dxa" w:w="90"/>
              <w:left w:type="dxa" w:w="130"/>
              <w:bottom w:type="dxa" w:w="90"/>
              <w:right w:type="dxa" w:w="130"/>
            </w:tcMar>
          </w:tcPr>
          <w:p>
            <w:pPr>
              <w:jc w:val="right"/>
            </w:pPr>
            <w:r>
              <w:rPr>
                <w:b/>
                <w:bCs/>
                <w:color w:val="FFFFFF"/>
                <w:sz w:val="19"/>
                <w:szCs w:val="19"/>
              </w:rPr>
              <w:t xml:space="preserve">Coût</w:t>
            </w:r>
          </w:p>
        </w:tc>
        <w:tc>
          <w:tcPr>
            <w:tcW w:type="dxa" w:w="4360"/>
            <w:shd w:fill="14304F" w:val="clear"/>
            <w:tcMar>
              <w:top w:type="dxa" w:w="90"/>
              <w:left w:type="dxa" w:w="130"/>
              <w:bottom w:type="dxa" w:w="90"/>
              <w:right w:type="dxa" w:w="130"/>
            </w:tcMar>
          </w:tcPr>
          <w:p>
            <w:pPr>
              <w:jc w:val="right"/>
            </w:pPr>
            <w:r>
              <w:rPr>
                <w:b/>
                <w:bCs/>
                <w:color w:val="FFFFFF"/>
                <w:sz w:val="19"/>
                <w:szCs w:val="19"/>
              </w:rPr>
              <w:t xml:space="preserve">Répartition obtenue</w:t>
            </w:r>
          </w:p>
        </w:tc>
      </w:tr>
      <w:tr>
        <w:tc>
          <w:tcPr>
            <w:tcW w:type="dxa" w:w="2900"/>
            <w:shd w:fill="FFFFFF" w:val="clear"/>
            <w:tcMar>
              <w:top w:type="dxa" w:w="90"/>
              <w:left w:type="dxa" w:w="130"/>
              <w:bottom w:type="dxa" w:w="90"/>
              <w:right w:type="dxa" w:w="130"/>
            </w:tcMar>
          </w:tcPr>
          <w:p>
            <w:pPr>
              <w:jc w:val="left"/>
            </w:pPr>
            <w:r>
              <w:rPr>
                <w:b w:val="false"/>
                <w:bCs w:val="false"/>
                <w:sz w:val="19"/>
                <w:szCs w:val="19"/>
              </w:rPr>
              <w:t xml:space="preserve">Seule la limite de 15 %</w:t>
            </w:r>
          </w:p>
        </w:tc>
        <w:tc>
          <w:tcPr>
            <w:tcW w:type="dxa" w:w="1100"/>
            <w:shd w:fill="FFFFFF" w:val="clear"/>
            <w:tcMar>
              <w:top w:type="dxa" w:w="90"/>
              <w:left w:type="dxa" w:w="130"/>
              <w:bottom w:type="dxa" w:w="90"/>
              <w:right w:type="dxa" w:w="130"/>
            </w:tcMar>
          </w:tcPr>
          <w:p>
            <w:pPr>
              <w:jc w:val="right"/>
            </w:pPr>
            <w:r>
              <w:rPr>
                <w:b w:val="false"/>
                <w:bCs w:val="false"/>
                <w:sz w:val="19"/>
                <w:szCs w:val="19"/>
              </w:rPr>
              <w:t xml:space="preserve">6,47 %</w:t>
            </w:r>
          </w:p>
        </w:tc>
        <w:tc>
          <w:tcPr>
            <w:tcW w:type="dxa" w:w="1000"/>
            <w:shd w:fill="FFFFFF" w:val="clear"/>
            <w:tcMar>
              <w:top w:type="dxa" w:w="90"/>
              <w:left w:type="dxa" w:w="130"/>
              <w:bottom w:type="dxa" w:w="90"/>
              <w:right w:type="dxa" w:w="130"/>
            </w:tcMar>
          </w:tcPr>
          <w:p>
            <w:pPr>
              <w:jc w:val="right"/>
            </w:pPr>
            <w:r>
              <w:rPr>
                <w:b w:val="false"/>
                <w:bCs w:val="false"/>
                <w:sz w:val="19"/>
                <w:szCs w:val="19"/>
              </w:rPr>
              <w:t xml:space="preserve">—</w:t>
            </w:r>
          </w:p>
        </w:tc>
        <w:tc>
          <w:tcPr>
            <w:tcW w:type="dxa" w:w="4360"/>
            <w:shd w:fill="FFFFFF" w:val="clear"/>
            <w:tcMar>
              <w:top w:type="dxa" w:w="90"/>
              <w:left w:type="dxa" w:w="130"/>
              <w:bottom w:type="dxa" w:w="90"/>
              <w:right w:type="dxa" w:w="130"/>
            </w:tcMar>
          </w:tcPr>
          <w:p>
            <w:pPr>
              <w:jc w:val="right"/>
            </w:pPr>
            <w:r>
              <w:rPr>
                <w:b w:val="false"/>
                <w:bCs w:val="false"/>
                <w:sz w:val="19"/>
                <w:szCs w:val="19"/>
              </w:rPr>
              <w:t xml:space="preserve">Indexées 55, Japon 32, États longs 9</w:t>
            </w:r>
          </w:p>
        </w:tc>
      </w:tr>
      <w:tr>
        <w:tc>
          <w:tcPr>
            <w:tcW w:type="dxa" w:w="2900"/>
            <w:shd w:fill="F7F8FA" w:val="clear"/>
            <w:tcMar>
              <w:top w:type="dxa" w:w="90"/>
              <w:left w:type="dxa" w:w="130"/>
              <w:bottom w:type="dxa" w:w="90"/>
              <w:right w:type="dxa" w:w="130"/>
            </w:tcMar>
          </w:tcPr>
          <w:p>
            <w:pPr>
              <w:jc w:val="left"/>
            </w:pPr>
            <w:r>
              <w:rPr>
                <w:b w:val="false"/>
                <w:bCs w:val="false"/>
                <w:sz w:val="19"/>
                <w:szCs w:val="19"/>
              </w:rPr>
              <w:t xml:space="preserve">+ 10 % sur l'échelle AAA</w:t>
            </w:r>
          </w:p>
        </w:tc>
        <w:tc>
          <w:tcPr>
            <w:tcW w:type="dxa" w:w="1100"/>
            <w:shd w:fill="F7F8FA" w:val="clear"/>
            <w:tcMar>
              <w:top w:type="dxa" w:w="90"/>
              <w:left w:type="dxa" w:w="130"/>
              <w:bottom w:type="dxa" w:w="90"/>
              <w:right w:type="dxa" w:w="130"/>
            </w:tcMar>
          </w:tcPr>
          <w:p>
            <w:pPr>
              <w:jc w:val="right"/>
            </w:pPr>
            <w:r>
              <w:rPr>
                <w:b w:val="false"/>
                <w:bCs w:val="false"/>
                <w:sz w:val="19"/>
                <w:szCs w:val="19"/>
              </w:rPr>
              <w:t xml:space="preserve">6,46 %</w:t>
            </w:r>
          </w:p>
        </w:tc>
        <w:tc>
          <w:tcPr>
            <w:tcW w:type="dxa" w:w="1000"/>
            <w:shd w:fill="F7F8FA" w:val="clear"/>
            <w:tcMar>
              <w:top w:type="dxa" w:w="90"/>
              <w:left w:type="dxa" w:w="130"/>
              <w:bottom w:type="dxa" w:w="90"/>
              <w:right w:type="dxa" w:w="130"/>
            </w:tcMar>
          </w:tcPr>
          <w:p>
            <w:pPr>
              <w:jc w:val="right"/>
            </w:pPr>
            <w:r>
              <w:rPr>
                <w:b w:val="false"/>
                <w:bCs w:val="false"/>
                <w:sz w:val="19"/>
                <w:szCs w:val="19"/>
              </w:rPr>
              <w:t xml:space="preserve">−0,01</w:t>
            </w:r>
          </w:p>
        </w:tc>
        <w:tc>
          <w:tcPr>
            <w:tcW w:type="dxa" w:w="4360"/>
            <w:shd w:fill="F7F8FA" w:val="clear"/>
            <w:tcMar>
              <w:top w:type="dxa" w:w="90"/>
              <w:left w:type="dxa" w:w="130"/>
              <w:bottom w:type="dxa" w:w="90"/>
              <w:right w:type="dxa" w:w="130"/>
            </w:tcMar>
          </w:tcPr>
          <w:p>
            <w:pPr>
              <w:jc w:val="right"/>
            </w:pPr>
            <w:r>
              <w:rPr>
                <w:b w:val="false"/>
                <w:bCs w:val="false"/>
                <w:sz w:val="19"/>
                <w:szCs w:val="19"/>
              </w:rPr>
              <w:t xml:space="preserve">Indexées 58, Japon 32, AAA 10</w:t>
            </w:r>
          </w:p>
        </w:tc>
      </w:tr>
      <w:tr>
        <w:tc>
          <w:tcPr>
            <w:tcW w:type="dxa" w:w="2900"/>
            <w:shd w:fill="FFFFFF" w:val="clear"/>
            <w:tcMar>
              <w:top w:type="dxa" w:w="90"/>
              <w:left w:type="dxa" w:w="130"/>
              <w:bottom w:type="dxa" w:w="90"/>
              <w:right w:type="dxa" w:w="130"/>
            </w:tcMar>
          </w:tcPr>
          <w:p>
            <w:pPr>
              <w:jc w:val="left"/>
            </w:pPr>
            <w:r>
              <w:rPr>
                <w:b w:val="false"/>
                <w:bCs w:val="false"/>
                <w:sz w:val="19"/>
                <w:szCs w:val="19"/>
              </w:rPr>
              <w:t xml:space="preserve">+ clé actions 40/35/10/15</w:t>
            </w:r>
          </w:p>
        </w:tc>
        <w:tc>
          <w:tcPr>
            <w:tcW w:type="dxa" w:w="1100"/>
            <w:shd w:fill="FFFFFF" w:val="clear"/>
            <w:tcMar>
              <w:top w:type="dxa" w:w="90"/>
              <w:left w:type="dxa" w:w="130"/>
              <w:bottom w:type="dxa" w:w="90"/>
              <w:right w:type="dxa" w:w="130"/>
            </w:tcMar>
          </w:tcPr>
          <w:p>
            <w:pPr>
              <w:jc w:val="right"/>
            </w:pPr>
            <w:r>
              <w:rPr>
                <w:b w:val="false"/>
                <w:bCs w:val="false"/>
                <w:sz w:val="19"/>
                <w:szCs w:val="19"/>
              </w:rPr>
              <w:t xml:space="preserve">5,78 %</w:t>
            </w:r>
          </w:p>
        </w:tc>
        <w:tc>
          <w:tcPr>
            <w:tcW w:type="dxa" w:w="1000"/>
            <w:shd w:fill="FFFFFF" w:val="clear"/>
            <w:tcMar>
              <w:top w:type="dxa" w:w="90"/>
              <w:left w:type="dxa" w:w="130"/>
              <w:bottom w:type="dxa" w:w="90"/>
              <w:right w:type="dxa" w:w="130"/>
            </w:tcMar>
          </w:tcPr>
          <w:p>
            <w:pPr>
              <w:jc w:val="right"/>
            </w:pPr>
            <w:r>
              <w:rPr>
                <w:b w:val="false"/>
                <w:bCs w:val="false"/>
                <w:sz w:val="19"/>
                <w:szCs w:val="19"/>
              </w:rPr>
              <w:t xml:space="preserve">−0,68</w:t>
            </w:r>
          </w:p>
        </w:tc>
        <w:tc>
          <w:tcPr>
            <w:tcW w:type="dxa" w:w="4360"/>
            <w:shd w:fill="FFFFFF" w:val="clear"/>
            <w:tcMar>
              <w:top w:type="dxa" w:w="90"/>
              <w:left w:type="dxa" w:w="130"/>
              <w:bottom w:type="dxa" w:w="90"/>
              <w:right w:type="dxa" w:w="130"/>
            </w:tcMar>
          </w:tcPr>
          <w:p>
            <w:pPr>
              <w:jc w:val="right"/>
            </w:pPr>
            <w:r>
              <w:rPr>
                <w:b w:val="false"/>
                <w:bCs w:val="false"/>
                <w:sz w:val="19"/>
                <w:szCs w:val="19"/>
              </w:rPr>
              <w:t xml:space="preserve">Indexées 70, actions 20, AAA 10</w:t>
            </w:r>
          </w:p>
        </w:tc>
      </w:tr>
      <w:tr>
        <w:tc>
          <w:tcPr>
            <w:tcW w:type="dxa" w:w="2900"/>
            <w:shd w:fill="F7F8FA" w:val="clear"/>
            <w:tcMar>
              <w:top w:type="dxa" w:w="90"/>
              <w:left w:type="dxa" w:w="130"/>
              <w:bottom w:type="dxa" w:w="90"/>
              <w:right w:type="dxa" w:w="130"/>
            </w:tcMar>
          </w:tcPr>
          <w:p>
            <w:pPr>
              <w:jc w:val="left"/>
            </w:pPr>
            <w:r>
              <w:rPr>
                <w:b w:val="false"/>
                <w:bCs w:val="false"/>
                <w:sz w:val="19"/>
                <w:szCs w:val="19"/>
              </w:rPr>
              <w:t xml:space="preserve">+ plafonds par ligne</w:t>
            </w:r>
          </w:p>
        </w:tc>
        <w:tc>
          <w:tcPr>
            <w:tcW w:type="dxa" w:w="1100"/>
            <w:shd w:fill="F7F8FA" w:val="clear"/>
            <w:tcMar>
              <w:top w:type="dxa" w:w="90"/>
              <w:left w:type="dxa" w:w="130"/>
              <w:bottom w:type="dxa" w:w="90"/>
              <w:right w:type="dxa" w:w="130"/>
            </w:tcMar>
          </w:tcPr>
          <w:p>
            <w:pPr>
              <w:jc w:val="right"/>
            </w:pPr>
            <w:r>
              <w:rPr>
                <w:b w:val="false"/>
                <w:bCs w:val="false"/>
                <w:sz w:val="19"/>
                <w:szCs w:val="19"/>
              </w:rPr>
              <w:t xml:space="preserve">5,40 %</w:t>
            </w:r>
          </w:p>
        </w:tc>
        <w:tc>
          <w:tcPr>
            <w:tcW w:type="dxa" w:w="1000"/>
            <w:shd w:fill="F7F8FA" w:val="clear"/>
            <w:tcMar>
              <w:top w:type="dxa" w:w="90"/>
              <w:left w:type="dxa" w:w="130"/>
              <w:bottom w:type="dxa" w:w="90"/>
              <w:right w:type="dxa" w:w="130"/>
            </w:tcMar>
          </w:tcPr>
          <w:p>
            <w:pPr>
              <w:jc w:val="right"/>
            </w:pPr>
            <w:r>
              <w:rPr>
                <w:b w:val="false"/>
                <w:bCs w:val="false"/>
                <w:sz w:val="19"/>
                <w:szCs w:val="19"/>
              </w:rPr>
              <w:t xml:space="preserve">−0,38</w:t>
            </w:r>
          </w:p>
        </w:tc>
        <w:tc>
          <w:tcPr>
            <w:tcW w:type="dxa" w:w="4360"/>
            <w:shd w:fill="F7F8FA" w:val="clear"/>
            <w:tcMar>
              <w:top w:type="dxa" w:w="90"/>
              <w:left w:type="dxa" w:w="130"/>
              <w:bottom w:type="dxa" w:w="90"/>
              <w:right w:type="dxa" w:w="130"/>
            </w:tcMar>
          </w:tcPr>
          <w:p>
            <w:pPr>
              <w:jc w:val="right"/>
            </w:pPr>
            <w:r>
              <w:rPr>
                <w:b w:val="false"/>
                <w:bCs w:val="false"/>
                <w:sz w:val="19"/>
                <w:szCs w:val="19"/>
              </w:rPr>
              <w:t xml:space="preserve">États longs 37, actions 32, indexées 15</w:t>
            </w:r>
          </w:p>
        </w:tc>
      </w:tr>
      <w:tr>
        <w:tc>
          <w:tcPr>
            <w:tcW w:type="dxa" w:w="2900"/>
            <w:shd w:fill="FFFFFF" w:val="clear"/>
            <w:tcMar>
              <w:top w:type="dxa" w:w="90"/>
              <w:left w:type="dxa" w:w="130"/>
              <w:bottom w:type="dxa" w:w="90"/>
              <w:right w:type="dxa" w:w="130"/>
            </w:tcMar>
          </w:tcPr>
          <w:p>
            <w:pPr>
              <w:jc w:val="left"/>
            </w:pPr>
            <w:r>
              <w:rPr>
                <w:b w:val="false"/>
                <w:bCs w:val="false"/>
                <w:sz w:val="19"/>
                <w:szCs w:val="19"/>
              </w:rPr>
              <w:t xml:space="preserve">+ marge à 14 %</w:t>
            </w:r>
          </w:p>
        </w:tc>
        <w:tc>
          <w:tcPr>
            <w:tcW w:type="dxa" w:w="1100"/>
            <w:shd w:fill="FFFFFF" w:val="clear"/>
            <w:tcMar>
              <w:top w:type="dxa" w:w="90"/>
              <w:left w:type="dxa" w:w="130"/>
              <w:bottom w:type="dxa" w:w="90"/>
              <w:right w:type="dxa" w:w="130"/>
            </w:tcMar>
          </w:tcPr>
          <w:p>
            <w:pPr>
              <w:jc w:val="right"/>
            </w:pPr>
            <w:r>
              <w:rPr>
                <w:b w:val="false"/>
                <w:bCs w:val="false"/>
                <w:sz w:val="19"/>
                <w:szCs w:val="19"/>
              </w:rPr>
              <w:t xml:space="preserve"/>
            </w:r>
            <w:r>
              <w:rPr>
                <w:b/>
                <w:bCs/>
                <w:sz w:val="19"/>
                <w:szCs w:val="19"/>
              </w:rPr>
              <w:t xml:space="preserve">5,31 %</w:t>
            </w:r>
            <w:r>
              <w:rPr>
                <w:b w:val="false"/>
                <w:bCs w:val="false"/>
                <w:sz w:val="19"/>
                <w:szCs w:val="19"/>
              </w:rPr>
              <w:t xml:space="preserve"/>
            </w:r>
          </w:p>
        </w:tc>
        <w:tc>
          <w:tcPr>
            <w:tcW w:type="dxa" w:w="1000"/>
            <w:shd w:fill="FFFFFF" w:val="clear"/>
            <w:tcMar>
              <w:top w:type="dxa" w:w="90"/>
              <w:left w:type="dxa" w:w="130"/>
              <w:bottom w:type="dxa" w:w="90"/>
              <w:right w:type="dxa" w:w="130"/>
            </w:tcMar>
          </w:tcPr>
          <w:p>
            <w:pPr>
              <w:jc w:val="right"/>
            </w:pPr>
            <w:r>
              <w:rPr>
                <w:b w:val="false"/>
                <w:bCs w:val="false"/>
                <w:sz w:val="19"/>
                <w:szCs w:val="19"/>
              </w:rPr>
              <w:t xml:space="preserve">−0,09</w:t>
            </w:r>
          </w:p>
        </w:tc>
        <w:tc>
          <w:tcPr>
            <w:tcW w:type="dxa" w:w="4360"/>
            <w:shd w:fill="FFFFFF" w:val="clear"/>
            <w:tcMar>
              <w:top w:type="dxa" w:w="90"/>
              <w:left w:type="dxa" w:w="130"/>
              <w:bottom w:type="dxa" w:w="90"/>
              <w:right w:type="dxa" w:w="130"/>
            </w:tcMar>
          </w:tcPr>
          <w:p>
            <w:pPr>
              <w:jc w:val="right"/>
            </w:pPr>
            <w:r>
              <w:rPr>
                <w:b w:val="false"/>
                <w:bCs w:val="false"/>
                <w:sz w:val="19"/>
                <w:szCs w:val="19"/>
              </w:rPr>
              <w:t xml:space="preserve">États longs 41, actions 30, indexées 15</w:t>
            </w:r>
          </w:p>
        </w:tc>
      </w:tr>
    </w:tbl>
    <w:p>
      <w:pPr>
        <w:spacing w:after="160"/>
      </w:pPr>
    </w:p>
    <w:p>
      <w:pPr>
        <w:pStyle w:val="Heading3"/>
        <w:spacing w:after="100" w:before="200"/>
      </w:pPr>
      <w:r>
        <w:t xml:space="preserve">Comment lire chaque ligne</w:t>
      </w:r>
    </w:p>
    <w:p>
      <w:pPr>
        <w:spacing w:after="120" w:line="276"/>
        <w:jc w:val="both"/>
      </w:pPr>
      <w:r>
        <w:rPr>
          <w:b w:val="false"/>
          <w:bCs w:val="false"/>
        </w:rPr>
        <w:t xml:space="preserve"/>
      </w:r>
      <w:r>
        <w:rPr>
          <w:b/>
          <w:bCs/>
        </w:rPr>
        <w:t xml:space="preserve">6,47 % — le calcul libre.</w:t>
      </w:r>
      <w:r>
        <w:rPr>
          <w:b w:val="false"/>
          <w:bCs w:val="false"/>
        </w:rPr>
        <w:t xml:space="preserve"> Une seule exigence. Il répond 55 % d'indexées et 32 % de Japon. Ce n'est pas une proposition, c'est un </w:t>
      </w:r>
      <w:r>
        <w:rPr>
          <w:b/>
          <w:bCs/>
        </w:rPr>
        <w:t xml:space="preserve">plafond</w:t>
      </w:r>
      <w:r>
        <w:rPr>
          <w:b w:val="false"/>
          <w:bCs w:val="false"/>
        </w:rPr>
        <w:t xml:space="preserve"> : rien, sous la règle des 15 %, ne fera mieux.</w:t>
      </w:r>
    </w:p>
    <w:p>
      <w:pPr>
        <w:spacing w:after="120" w:line="276"/>
        <w:jc w:val="both"/>
      </w:pPr>
      <w:r>
        <w:rPr>
          <w:b w:val="false"/>
          <w:bCs w:val="false"/>
        </w:rPr>
        <w:t xml:space="preserve"/>
      </w:r>
      <w:r>
        <w:rPr>
          <w:b/>
          <w:bCs/>
        </w:rPr>
        <w:t xml:space="preserve">−0,01 point pour les 10 M€.</w:t>
      </w:r>
      <w:r>
        <w:rPr>
          <w:b w:val="false"/>
          <w:bCs w:val="false"/>
        </w:rPr>
        <w:t xml:space="preserve"> Le résultat le plus contre-intuitif, et le meilleur argument client du dossier. Le calcul a payé l'échelle AAA (3,03 %) en vendant les États longs (3,63 %) et le crédit (3,39 %) : il a troqué une obligation médiocre contre une autre. </w:t>
      </w:r>
      <w:r>
        <w:rPr>
          <w:b/>
          <w:bCs/>
        </w:rPr>
        <w:t xml:space="preserve">Sécuriser la liquidité du client ne coûte rien.</w:t>
      </w:r>
      <w:r>
        <w:rPr>
          <w:b w:val="false"/>
          <w:bCs w:val="false"/>
        </w:rPr>
        <w:t xml:space="preserve"/>
      </w:r>
    </w:p>
    <w:p>
      <w:pPr>
        <w:spacing w:after="120" w:line="276"/>
        <w:jc w:val="both"/>
      </w:pPr>
      <w:r>
        <w:rPr>
          <w:b w:val="false"/>
          <w:bCs w:val="false"/>
        </w:rPr>
        <w:t xml:space="preserve"/>
      </w:r>
      <w:r>
        <w:rPr>
          <w:b/>
          <w:bCs/>
        </w:rPr>
        <w:t xml:space="preserve">−0,68 point pour la clé actions. La règle la plus chère.</w:t>
      </w:r>
      <w:r>
        <w:rPr>
          <w:b w:val="false"/>
          <w:bCs w:val="false"/>
        </w:rPr>
        <w:t xml:space="preserve"> Le calcul libre mettait 32 % sur le Japon et zéro sur l'Europe, les États-Unis et les émergents. On impose donc une clé géographique fixe — 40 % Europe, 35 % États-Unis, 10 % Japon, 15 % émergents — et le calcul ne décide plus que de la </w:t>
      </w:r>
      <w:r>
        <w:rPr>
          <w:b/>
          <w:bCs/>
        </w:rPr>
        <w:t xml:space="preserve">taille</w:t>
      </w:r>
      <w:r>
        <w:rPr>
          <w:b w:val="false"/>
          <w:bCs w:val="false"/>
        </w:rPr>
        <w:t xml:space="preserve"> de la poche actions, pas de sa composition. Ce que ces 0,68 point achètent : aucun pari sur un pays, aucun pari sur une devise.</w:t>
      </w:r>
    </w:p>
    <w:p>
      <w:pPr>
        <w:spacing w:after="120" w:line="276"/>
        <w:jc w:val="both"/>
      </w:pPr>
      <w:r>
        <w:rPr>
          <w:b w:val="false"/>
          <w:bCs w:val="false"/>
        </w:rPr>
        <w:t xml:space="preserve"/>
      </w:r>
      <w:r>
        <w:rPr>
          <w:b/>
          <w:bCs/>
        </w:rPr>
        <w:t xml:space="preserve">−0,38 point pour les plafonds.</w:t>
      </w:r>
      <w:r>
        <w:rPr>
          <w:b w:val="false"/>
          <w:bCs w:val="false"/>
        </w:rPr>
        <w:t xml:space="preserve"> La ligne précédente mettait 70 % sur un seul support. Plafonds : indexées ≤ 15 %, or ≤ 10 %, matières premières ≤ 5 %, crédit ≤ 20 %. Effet de bord notable : le portefeuille devient plus diversifié </w:t>
      </w:r>
      <w:r>
        <w:rPr>
          <w:b/>
          <w:bCs/>
        </w:rPr>
        <w:t xml:space="preserve">et</w:t>
      </w:r>
      <w:r>
        <w:rPr>
          <w:b w:val="false"/>
          <w:bCs w:val="false"/>
        </w:rPr>
        <w:t xml:space="preserve"> plus actions, parce que plafonner les indexées ne laisse que les actions pour tenir le rendement.</w:t>
      </w:r>
    </w:p>
    <w:p>
      <w:pPr>
        <w:spacing w:after="120" w:line="276"/>
        <w:jc w:val="both"/>
      </w:pPr>
      <w:r>
        <w:rPr>
          <w:b w:val="false"/>
          <w:bCs w:val="false"/>
        </w:rPr>
        <w:t xml:space="preserve"/>
      </w:r>
      <w:r>
        <w:rPr>
          <w:b/>
          <w:bCs/>
        </w:rPr>
        <w:t xml:space="preserve">−0,09 point pour la marge à 14 %.</w:t>
      </w:r>
      <w:r>
        <w:rPr>
          <w:b w:val="false"/>
          <w:bCs w:val="false"/>
        </w:rPr>
        <w:t xml:space="preserve"> La seule règle qui ne vienne pas du client. Avant 2018, plusieurs supports sont mesurés par des remplaçants parfois flatteurs ; viser 14 % laisse un point de jeu pour l'erreur de mesure. C'est l'assurance la moins chère du tableau.</w:t>
      </w:r>
    </w:p>
    <w:tbl>
      <w:tblPr>
        <w:tblW w:type="dxa" w:w="9360"/>
        <w:tblBorders>
          <w:top w:val="single" w:color="C9CFD6" w:sz="2"/>
          <w:left w:val="single" w:color="14304F" w:sz="12"/>
          <w:bottom w:val="single" w:color="C9CFD6" w:sz="2"/>
          <w:right w:val="single" w:color="C9CFD6" w:sz="2"/>
          <w:insideH w:val="none"/>
          <w:insideV w:val="none"/>
        </w:tblBorders>
      </w:tblPr>
      <w:tblGrid>
        <w:gridCol w:w="9360"/>
      </w:tblGrid>
      <w:tr>
        <w:tc>
          <w:tcPr>
            <w:tcW w:type="dxa" w:w="9360"/>
            <w:shd w:fill="F2F4F7" w:val="clear"/>
            <w:tcMar>
              <w:top w:type="dxa" w:w="160"/>
              <w:left w:type="dxa" w:w="200"/>
              <w:bottom w:type="dxa" w:w="160"/>
              <w:right w:type="dxa" w:w="200"/>
            </w:tcMar>
          </w:tcPr>
          <w:p>
            <w:pPr>
              <w:spacing w:after="80"/>
            </w:pPr>
            <w:r>
              <w:rPr>
                <w:b/>
                <w:bCs/>
                <w:color w:val="14304F"/>
              </w:rPr>
              <w:t xml:space="preserve">La colonne que personne ne regarde</w:t>
            </w:r>
          </w:p>
          <w:p>
            <w:pPr>
              <w:spacing w:after="120" w:line="276"/>
              <w:jc w:val="both"/>
            </w:pPr>
            <w:r>
              <w:rPr>
                <w:b w:val="false"/>
                <w:bCs w:val="false"/>
              </w:rPr>
              <w:t xml:space="preserve">La pire baisse affiche −15,0 % sur les quatre premières lignes. Ce n'est pas une coïncidence : le calcul maximise le rendement, donc il va systématiquement s'écraser contre la limite. </w:t>
            </w:r>
            <w:r>
              <w:rPr>
                <w:b/>
                <w:bCs/>
              </w:rPr>
              <w:t xml:space="preserve">À chaque étape, ce qui l'arrête c'est le risque, jamais les règles.</w:t>
            </w:r>
            <w:r>
              <w:rPr>
                <w:b w:val="false"/>
                <w:bCs w:val="false"/>
              </w:rPr>
              <w:t xml:space="preserve"> Les règles ne font que changer la façon dont il dépense un budget de risque constant.</w:t>
            </w:r>
          </w:p>
        </w:tc>
      </w:tr>
    </w:tbl>
    <w:p>
      <w:pPr>
        <w:pStyle w:val="Heading2"/>
        <w:spacing w:after="120" w:before="280"/>
      </w:pPr>
      <w:r>
        <w:t xml:space="preserve">5.5 Le portefeuille retenu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1800"/>
        <w:gridCol w:w="2560"/>
      </w:tblGrid>
      <w:tr>
        <w:trPr>
          <w:tblHeader/>
        </w:trPr>
        <w:tc>
          <w:tcPr>
            <w:tcW w:type="dxa" w:w="3600"/>
            <w:shd w:fill="14304F" w:val="clear"/>
            <w:tcMar>
              <w:top w:type="dxa" w:w="90"/>
              <w:left w:type="dxa" w:w="130"/>
              <w:bottom w:type="dxa" w:w="90"/>
              <w:right w:type="dxa" w:w="130"/>
            </w:tcMar>
          </w:tcPr>
          <w:p>
            <w:pPr>
              <w:jc w:val="left"/>
            </w:pPr>
            <w:r>
              <w:rPr>
                <w:b/>
                <w:bCs/>
                <w:color w:val="FFFFFF"/>
                <w:sz w:val="19"/>
                <w:szCs w:val="19"/>
              </w:rPr>
              <w:t xml:space="preserve">Ligne</w:t>
            </w:r>
          </w:p>
        </w:tc>
        <w:tc>
          <w:tcPr>
            <w:tcW w:type="dxa" w:w="1400"/>
            <w:shd w:fill="14304F" w:val="clear"/>
            <w:tcMar>
              <w:top w:type="dxa" w:w="90"/>
              <w:left w:type="dxa" w:w="130"/>
              <w:bottom w:type="dxa" w:w="90"/>
              <w:right w:type="dxa" w:w="130"/>
            </w:tcMar>
          </w:tcPr>
          <w:p>
            <w:pPr>
              <w:jc w:val="right"/>
            </w:pPr>
            <w:r>
              <w:rPr>
                <w:b/>
                <w:bCs/>
                <w:color w:val="FFFFFF"/>
                <w:sz w:val="19"/>
                <w:szCs w:val="19"/>
              </w:rPr>
              <w:t xml:space="preserve">Poids</w:t>
            </w:r>
          </w:p>
        </w:tc>
        <w:tc>
          <w:tcPr>
            <w:tcW w:type="dxa" w:w="1800"/>
            <w:shd w:fill="14304F" w:val="clear"/>
            <w:tcMar>
              <w:top w:type="dxa" w:w="90"/>
              <w:left w:type="dxa" w:w="130"/>
              <w:bottom w:type="dxa" w:w="90"/>
              <w:right w:type="dxa" w:w="130"/>
            </w:tcMar>
          </w:tcPr>
          <w:p>
            <w:pPr>
              <w:jc w:val="right"/>
            </w:pPr>
            <w:r>
              <w:rPr>
                <w:b/>
                <w:bCs/>
                <w:color w:val="FFFFFF"/>
                <w:sz w:val="19"/>
                <w:szCs w:val="19"/>
              </w:rPr>
              <w:t xml:space="preserve">Montant</w:t>
            </w:r>
          </w:p>
        </w:tc>
        <w:tc>
          <w:tcPr>
            <w:tcW w:type="dxa" w:w="2560"/>
            <w:shd w:fill="14304F" w:val="clear"/>
            <w:tcMar>
              <w:top w:type="dxa" w:w="90"/>
              <w:left w:type="dxa" w:w="130"/>
              <w:bottom w:type="dxa" w:w="90"/>
              <w:right w:type="dxa" w:w="130"/>
            </w:tcMar>
          </w:tcPr>
          <w:p>
            <w:pPr>
              <w:jc w:val="right"/>
            </w:pPr>
            <w:r>
              <w:rPr>
                <w:b/>
                <w:bCs/>
                <w:color w:val="FFFFFF"/>
                <w:sz w:val="19"/>
                <w:szCs w:val="19"/>
              </w:rPr>
              <w:t xml:space="preserve">Rendement espéré</w:t>
            </w:r>
          </w:p>
        </w:tc>
      </w:tr>
      <w:tr>
        <w:tc>
          <w:tcPr>
            <w:tcW w:type="dxa" w:w="3600"/>
            <w:shd w:fill="FFFFFF" w:val="clear"/>
            <w:tcMar>
              <w:top w:type="dxa" w:w="90"/>
              <w:left w:type="dxa" w:w="130"/>
              <w:bottom w:type="dxa" w:w="90"/>
              <w:right w:type="dxa" w:w="130"/>
            </w:tcMar>
          </w:tcPr>
          <w:p>
            <w:pPr>
              <w:jc w:val="left"/>
            </w:pPr>
            <w:r>
              <w:rPr>
                <w:b w:val="false"/>
                <w:bCs w:val="false"/>
                <w:sz w:val="19"/>
                <w:szCs w:val="19"/>
              </w:rPr>
              <w:t xml:space="preserve">États zone euro 2-10 ans</w:t>
            </w:r>
          </w:p>
        </w:tc>
        <w:tc>
          <w:tcPr>
            <w:tcW w:type="dxa" w:w="1400"/>
            <w:shd w:fill="FFFFFF" w:val="clear"/>
            <w:tcMar>
              <w:top w:type="dxa" w:w="90"/>
              <w:left w:type="dxa" w:w="130"/>
              <w:bottom w:type="dxa" w:w="90"/>
              <w:right w:type="dxa" w:w="130"/>
            </w:tcMar>
          </w:tcPr>
          <w:p>
            <w:pPr>
              <w:jc w:val="right"/>
            </w:pPr>
            <w:r>
              <w:rPr>
                <w:b w:val="false"/>
                <w:bCs w:val="false"/>
                <w:sz w:val="19"/>
                <w:szCs w:val="19"/>
              </w:rPr>
              <w:t xml:space="preserve">41 %</w:t>
            </w:r>
          </w:p>
        </w:tc>
        <w:tc>
          <w:tcPr>
            <w:tcW w:type="dxa" w:w="1800"/>
            <w:shd w:fill="FFFFFF" w:val="clear"/>
            <w:tcMar>
              <w:top w:type="dxa" w:w="90"/>
              <w:left w:type="dxa" w:w="130"/>
              <w:bottom w:type="dxa" w:w="90"/>
              <w:right w:type="dxa" w:w="130"/>
            </w:tcMar>
          </w:tcPr>
          <w:p>
            <w:pPr>
              <w:jc w:val="right"/>
            </w:pPr>
            <w:r>
              <w:rPr>
                <w:b w:val="false"/>
                <w:bCs w:val="false"/>
                <w:sz w:val="19"/>
                <w:szCs w:val="19"/>
              </w:rPr>
              <w:t xml:space="preserve">41,3 M€</w:t>
            </w:r>
          </w:p>
        </w:tc>
        <w:tc>
          <w:tcPr>
            <w:tcW w:type="dxa" w:w="2560"/>
            <w:shd w:fill="FFFFFF" w:val="clear"/>
            <w:tcMar>
              <w:top w:type="dxa" w:w="90"/>
              <w:left w:type="dxa" w:w="130"/>
              <w:bottom w:type="dxa" w:w="90"/>
              <w:right w:type="dxa" w:w="130"/>
            </w:tcMar>
          </w:tcPr>
          <w:p>
            <w:pPr>
              <w:jc w:val="right"/>
            </w:pPr>
            <w:r>
              <w:rPr>
                <w:b w:val="false"/>
                <w:bCs w:val="false"/>
                <w:sz w:val="19"/>
                <w:szCs w:val="19"/>
              </w:rPr>
              <w:t xml:space="preserve">3,63 %</w:t>
            </w:r>
          </w:p>
        </w:tc>
      </w:tr>
      <w:tr>
        <w:tc>
          <w:tcPr>
            <w:tcW w:type="dxa" w:w="3600"/>
            <w:shd w:fill="F7F8FA" w:val="clear"/>
            <w:tcMar>
              <w:top w:type="dxa" w:w="90"/>
              <w:left w:type="dxa" w:w="130"/>
              <w:bottom w:type="dxa" w:w="90"/>
              <w:right w:type="dxa" w:w="130"/>
            </w:tcMar>
          </w:tcPr>
          <w:p>
            <w:pPr>
              <w:jc w:val="left"/>
            </w:pPr>
            <w:r>
              <w:rPr>
                <w:b w:val="false"/>
                <w:bCs w:val="false"/>
                <w:sz w:val="19"/>
                <w:szCs w:val="19"/>
              </w:rPr>
              <w:t xml:space="preserve">Actions européennes (30 titres)</w:t>
            </w:r>
          </w:p>
        </w:tc>
        <w:tc>
          <w:tcPr>
            <w:tcW w:type="dxa" w:w="1400"/>
            <w:shd w:fill="F7F8FA" w:val="clear"/>
            <w:tcMar>
              <w:top w:type="dxa" w:w="90"/>
              <w:left w:type="dxa" w:w="130"/>
              <w:bottom w:type="dxa" w:w="90"/>
              <w:right w:type="dxa" w:w="130"/>
            </w:tcMar>
          </w:tcPr>
          <w:p>
            <w:pPr>
              <w:jc w:val="right"/>
            </w:pPr>
            <w:r>
              <w:rPr>
                <w:b w:val="false"/>
                <w:bCs w:val="false"/>
                <w:sz w:val="19"/>
                <w:szCs w:val="19"/>
              </w:rPr>
              <w:t xml:space="preserve">12 %</w:t>
            </w:r>
          </w:p>
        </w:tc>
        <w:tc>
          <w:tcPr>
            <w:tcW w:type="dxa" w:w="1800"/>
            <w:shd w:fill="F7F8FA" w:val="clear"/>
            <w:tcMar>
              <w:top w:type="dxa" w:w="90"/>
              <w:left w:type="dxa" w:w="130"/>
              <w:bottom w:type="dxa" w:w="90"/>
              <w:right w:type="dxa" w:w="130"/>
            </w:tcMar>
          </w:tcPr>
          <w:p>
            <w:pPr>
              <w:jc w:val="right"/>
            </w:pPr>
            <w:r>
              <w:rPr>
                <w:b w:val="false"/>
                <w:bCs w:val="false"/>
                <w:sz w:val="19"/>
                <w:szCs w:val="19"/>
              </w:rPr>
              <w:t xml:space="preserve">12,2 M€</w:t>
            </w:r>
          </w:p>
        </w:tc>
        <w:tc>
          <w:tcPr>
            <w:tcW w:type="dxa" w:w="2560"/>
            <w:shd w:fill="F7F8FA" w:val="clear"/>
            <w:tcMar>
              <w:top w:type="dxa" w:w="90"/>
              <w:left w:type="dxa" w:w="130"/>
              <w:bottom w:type="dxa" w:w="90"/>
              <w:right w:type="dxa" w:w="130"/>
            </w:tcMar>
          </w:tcPr>
          <w:p>
            <w:pPr>
              <w:jc w:val="right"/>
            </w:pPr>
            <w:r>
              <w:rPr>
                <w:b w:val="false"/>
                <w:bCs w:val="false"/>
                <w:sz w:val="19"/>
                <w:szCs w:val="19"/>
              </w:rPr>
              <w:t xml:space="preserve">9,23 %</w:t>
            </w:r>
          </w:p>
        </w:tc>
      </w:tr>
      <w:tr>
        <w:tc>
          <w:tcPr>
            <w:tcW w:type="dxa" w:w="3600"/>
            <w:shd w:fill="FFFFFF" w:val="clear"/>
            <w:tcMar>
              <w:top w:type="dxa" w:w="90"/>
              <w:left w:type="dxa" w:w="130"/>
              <w:bottom w:type="dxa" w:w="90"/>
              <w:right w:type="dxa" w:w="130"/>
            </w:tcMar>
          </w:tcPr>
          <w:p>
            <w:pPr>
              <w:jc w:val="left"/>
            </w:pPr>
            <w:r>
              <w:rPr>
                <w:b w:val="false"/>
                <w:bCs w:val="false"/>
                <w:sz w:val="19"/>
                <w:szCs w:val="19"/>
              </w:rPr>
              <w:t xml:space="preserve">Actions américaines</w:t>
            </w:r>
          </w:p>
        </w:tc>
        <w:tc>
          <w:tcPr>
            <w:tcW w:type="dxa" w:w="1400"/>
            <w:shd w:fill="FFFFFF" w:val="clear"/>
            <w:tcMar>
              <w:top w:type="dxa" w:w="90"/>
              <w:left w:type="dxa" w:w="130"/>
              <w:bottom w:type="dxa" w:w="90"/>
              <w:right w:type="dxa" w:w="130"/>
            </w:tcMar>
          </w:tcPr>
          <w:p>
            <w:pPr>
              <w:jc w:val="right"/>
            </w:pPr>
            <w:r>
              <w:rPr>
                <w:b w:val="false"/>
                <w:bCs w:val="false"/>
                <w:sz w:val="19"/>
                <w:szCs w:val="19"/>
              </w:rPr>
              <w:t xml:space="preserve">11 %</w:t>
            </w:r>
          </w:p>
        </w:tc>
        <w:tc>
          <w:tcPr>
            <w:tcW w:type="dxa" w:w="1800"/>
            <w:shd w:fill="FFFFFF" w:val="clear"/>
            <w:tcMar>
              <w:top w:type="dxa" w:w="90"/>
              <w:left w:type="dxa" w:w="130"/>
              <w:bottom w:type="dxa" w:w="90"/>
              <w:right w:type="dxa" w:w="130"/>
            </w:tcMar>
          </w:tcPr>
          <w:p>
            <w:pPr>
              <w:jc w:val="right"/>
            </w:pPr>
            <w:r>
              <w:rPr>
                <w:b w:val="false"/>
                <w:bCs w:val="false"/>
                <w:sz w:val="19"/>
                <w:szCs w:val="19"/>
              </w:rPr>
              <w:t xml:space="preserve">10,6 M€</w:t>
            </w:r>
          </w:p>
        </w:tc>
        <w:tc>
          <w:tcPr>
            <w:tcW w:type="dxa" w:w="2560"/>
            <w:shd w:fill="FFFFFF" w:val="clear"/>
            <w:tcMar>
              <w:top w:type="dxa" w:w="90"/>
              <w:left w:type="dxa" w:w="130"/>
              <w:bottom w:type="dxa" w:w="90"/>
              <w:right w:type="dxa" w:w="130"/>
            </w:tcMar>
          </w:tcPr>
          <w:p>
            <w:pPr>
              <w:jc w:val="right"/>
            </w:pPr>
            <w:r>
              <w:rPr>
                <w:b w:val="false"/>
                <w:bCs w:val="false"/>
                <w:sz w:val="19"/>
                <w:szCs w:val="19"/>
              </w:rPr>
              <w:t xml:space="preserve">7,19 %</w:t>
            </w:r>
          </w:p>
        </w:tc>
      </w:tr>
      <w:tr>
        <w:tc>
          <w:tcPr>
            <w:tcW w:type="dxa" w:w="3600"/>
            <w:shd w:fill="F7F8FA" w:val="clear"/>
            <w:tcMar>
              <w:top w:type="dxa" w:w="90"/>
              <w:left w:type="dxa" w:w="130"/>
              <w:bottom w:type="dxa" w:w="90"/>
              <w:right w:type="dxa" w:w="130"/>
            </w:tcMar>
          </w:tcPr>
          <w:p>
            <w:pPr>
              <w:jc w:val="left"/>
            </w:pPr>
            <w:r>
              <w:rPr>
                <w:b w:val="false"/>
                <w:bCs w:val="false"/>
                <w:sz w:val="19"/>
                <w:szCs w:val="19"/>
              </w:rPr>
              <w:t xml:space="preserve">Obligations indexées</w:t>
            </w:r>
          </w:p>
        </w:tc>
        <w:tc>
          <w:tcPr>
            <w:tcW w:type="dxa" w:w="1400"/>
            <w:shd w:fill="F7F8FA" w:val="clear"/>
            <w:tcMar>
              <w:top w:type="dxa" w:w="90"/>
              <w:left w:type="dxa" w:w="130"/>
              <w:bottom w:type="dxa" w:w="90"/>
              <w:right w:type="dxa" w:w="130"/>
            </w:tcMar>
          </w:tcPr>
          <w:p>
            <w:pPr>
              <w:jc w:val="right"/>
            </w:pPr>
            <w:r>
              <w:rPr>
                <w:b w:val="false"/>
                <w:bCs w:val="false"/>
                <w:sz w:val="19"/>
                <w:szCs w:val="19"/>
              </w:rPr>
              <w:t xml:space="preserve">15 %</w:t>
            </w:r>
          </w:p>
        </w:tc>
        <w:tc>
          <w:tcPr>
            <w:tcW w:type="dxa" w:w="1800"/>
            <w:shd w:fill="F7F8FA" w:val="clear"/>
            <w:tcMar>
              <w:top w:type="dxa" w:w="90"/>
              <w:left w:type="dxa" w:w="130"/>
              <w:bottom w:type="dxa" w:w="90"/>
              <w:right w:type="dxa" w:w="130"/>
            </w:tcMar>
          </w:tcPr>
          <w:p>
            <w:pPr>
              <w:jc w:val="right"/>
            </w:pPr>
            <w:r>
              <w:rPr>
                <w:b w:val="false"/>
                <w:bCs w:val="false"/>
                <w:sz w:val="19"/>
                <w:szCs w:val="19"/>
              </w:rPr>
              <w:t xml:space="preserve">15,0 M€</w:t>
            </w:r>
          </w:p>
        </w:tc>
        <w:tc>
          <w:tcPr>
            <w:tcW w:type="dxa" w:w="2560"/>
            <w:shd w:fill="F7F8FA" w:val="clear"/>
            <w:tcMar>
              <w:top w:type="dxa" w:w="90"/>
              <w:left w:type="dxa" w:w="130"/>
              <w:bottom w:type="dxa" w:w="90"/>
              <w:right w:type="dxa" w:w="130"/>
            </w:tcMar>
          </w:tcPr>
          <w:p>
            <w:pPr>
              <w:jc w:val="right"/>
            </w:pPr>
            <w:r>
              <w:rPr>
                <w:b w:val="false"/>
                <w:bCs w:val="false"/>
                <w:sz w:val="19"/>
                <w:szCs w:val="19"/>
              </w:rPr>
              <w:t xml:space="preserve">5,43 %</w:t>
            </w:r>
          </w:p>
        </w:tc>
      </w:tr>
      <w:tr>
        <w:tc>
          <w:tcPr>
            <w:tcW w:type="dxa" w:w="3600"/>
            <w:shd w:fill="FFFFFF" w:val="clear"/>
            <w:tcMar>
              <w:top w:type="dxa" w:w="90"/>
              <w:left w:type="dxa" w:w="130"/>
              <w:bottom w:type="dxa" w:w="90"/>
              <w:right w:type="dxa" w:w="130"/>
            </w:tcMar>
          </w:tcPr>
          <w:p>
            <w:pPr>
              <w:jc w:val="left"/>
            </w:pPr>
            <w:r>
              <w:rPr>
                <w:b w:val="false"/>
                <w:bCs w:val="false"/>
                <w:sz w:val="19"/>
                <w:szCs w:val="19"/>
              </w:rPr>
              <w:t xml:space="preserve">États AAA 6-24 mois</w:t>
            </w:r>
          </w:p>
        </w:tc>
        <w:tc>
          <w:tcPr>
            <w:tcW w:type="dxa" w:w="1400"/>
            <w:shd w:fill="FFFFFF" w:val="clear"/>
            <w:tcMar>
              <w:top w:type="dxa" w:w="90"/>
              <w:left w:type="dxa" w:w="130"/>
              <w:bottom w:type="dxa" w:w="90"/>
              <w:right w:type="dxa" w:w="130"/>
            </w:tcMar>
          </w:tcPr>
          <w:p>
            <w:pPr>
              <w:jc w:val="right"/>
            </w:pPr>
            <w:r>
              <w:rPr>
                <w:b w:val="false"/>
                <w:bCs w:val="false"/>
                <w:sz w:val="19"/>
                <w:szCs w:val="19"/>
              </w:rPr>
              <w:t xml:space="preserve">10 %</w:t>
            </w:r>
          </w:p>
        </w:tc>
        <w:tc>
          <w:tcPr>
            <w:tcW w:type="dxa" w:w="1800"/>
            <w:shd w:fill="FFFFFF" w:val="clear"/>
            <w:tcMar>
              <w:top w:type="dxa" w:w="90"/>
              <w:left w:type="dxa" w:w="130"/>
              <w:bottom w:type="dxa" w:w="90"/>
              <w:right w:type="dxa" w:w="130"/>
            </w:tcMar>
          </w:tcPr>
          <w:p>
            <w:pPr>
              <w:jc w:val="right"/>
            </w:pPr>
            <w:r>
              <w:rPr>
                <w:b w:val="false"/>
                <w:bCs w:val="false"/>
                <w:sz w:val="19"/>
                <w:szCs w:val="19"/>
              </w:rPr>
              <w:t xml:space="preserve">10,0 M€</w:t>
            </w:r>
          </w:p>
        </w:tc>
        <w:tc>
          <w:tcPr>
            <w:tcW w:type="dxa" w:w="2560"/>
            <w:shd w:fill="FFFFFF" w:val="clear"/>
            <w:tcMar>
              <w:top w:type="dxa" w:w="90"/>
              <w:left w:type="dxa" w:w="130"/>
              <w:bottom w:type="dxa" w:w="90"/>
              <w:right w:type="dxa" w:w="130"/>
            </w:tcMar>
          </w:tcPr>
          <w:p>
            <w:pPr>
              <w:jc w:val="right"/>
            </w:pPr>
            <w:r>
              <w:rPr>
                <w:b w:val="false"/>
                <w:bCs w:val="false"/>
                <w:sz w:val="19"/>
                <w:szCs w:val="19"/>
              </w:rPr>
              <w:t xml:space="preserve">3,03 %</w:t>
            </w:r>
          </w:p>
        </w:tc>
      </w:tr>
      <w:tr>
        <w:tc>
          <w:tcPr>
            <w:tcW w:type="dxa" w:w="3600"/>
            <w:shd w:fill="F7F8FA" w:val="clear"/>
            <w:tcMar>
              <w:top w:type="dxa" w:w="90"/>
              <w:left w:type="dxa" w:w="130"/>
              <w:bottom w:type="dxa" w:w="90"/>
              <w:right w:type="dxa" w:w="130"/>
            </w:tcMar>
          </w:tcPr>
          <w:p>
            <w:pPr>
              <w:jc w:val="left"/>
            </w:pPr>
            <w:r>
              <w:rPr>
                <w:b w:val="false"/>
                <w:bCs w:val="false"/>
                <w:sz w:val="19"/>
                <w:szCs w:val="19"/>
              </w:rPr>
              <w:t xml:space="preserve">Actions émergentes</w:t>
            </w:r>
          </w:p>
        </w:tc>
        <w:tc>
          <w:tcPr>
            <w:tcW w:type="dxa" w:w="1400"/>
            <w:shd w:fill="F7F8FA" w:val="clear"/>
            <w:tcMar>
              <w:top w:type="dxa" w:w="90"/>
              <w:left w:type="dxa" w:w="130"/>
              <w:bottom w:type="dxa" w:w="90"/>
              <w:right w:type="dxa" w:w="130"/>
            </w:tcMar>
          </w:tcPr>
          <w:p>
            <w:pPr>
              <w:jc w:val="right"/>
            </w:pPr>
            <w:r>
              <w:rPr>
                <w:b w:val="false"/>
                <w:bCs w:val="false"/>
                <w:sz w:val="19"/>
                <w:szCs w:val="19"/>
              </w:rPr>
              <w:t xml:space="preserve">5 %</w:t>
            </w:r>
          </w:p>
        </w:tc>
        <w:tc>
          <w:tcPr>
            <w:tcW w:type="dxa" w:w="1800"/>
            <w:shd w:fill="F7F8FA" w:val="clear"/>
            <w:tcMar>
              <w:top w:type="dxa" w:w="90"/>
              <w:left w:type="dxa" w:w="130"/>
              <w:bottom w:type="dxa" w:w="90"/>
              <w:right w:type="dxa" w:w="130"/>
            </w:tcMar>
          </w:tcPr>
          <w:p>
            <w:pPr>
              <w:jc w:val="right"/>
            </w:pPr>
            <w:r>
              <w:rPr>
                <w:b w:val="false"/>
                <w:bCs w:val="false"/>
                <w:sz w:val="19"/>
                <w:szCs w:val="19"/>
              </w:rPr>
              <w:t xml:space="preserve">4,6 M€</w:t>
            </w:r>
          </w:p>
        </w:tc>
        <w:tc>
          <w:tcPr>
            <w:tcW w:type="dxa" w:w="2560"/>
            <w:shd w:fill="F7F8FA" w:val="clear"/>
            <w:tcMar>
              <w:top w:type="dxa" w:w="90"/>
              <w:left w:type="dxa" w:w="130"/>
              <w:bottom w:type="dxa" w:w="90"/>
              <w:right w:type="dxa" w:w="130"/>
            </w:tcMar>
          </w:tcPr>
          <w:p>
            <w:pPr>
              <w:jc w:val="right"/>
            </w:pPr>
            <w:r>
              <w:rPr>
                <w:b w:val="false"/>
                <w:bCs w:val="false"/>
                <w:sz w:val="19"/>
                <w:szCs w:val="19"/>
              </w:rPr>
              <w:t xml:space="preserve">8,40 %</w:t>
            </w:r>
          </w:p>
        </w:tc>
      </w:tr>
      <w:tr>
        <w:tc>
          <w:tcPr>
            <w:tcW w:type="dxa" w:w="3600"/>
            <w:shd w:fill="FFFFFF" w:val="clear"/>
            <w:tcMar>
              <w:top w:type="dxa" w:w="90"/>
              <w:left w:type="dxa" w:w="130"/>
              <w:bottom w:type="dxa" w:w="90"/>
              <w:right w:type="dxa" w:w="130"/>
            </w:tcMar>
          </w:tcPr>
          <w:p>
            <w:pPr>
              <w:jc w:val="left"/>
            </w:pPr>
            <w:r>
              <w:rPr>
                <w:b w:val="false"/>
                <w:bCs w:val="false"/>
                <w:sz w:val="19"/>
                <w:szCs w:val="19"/>
              </w:rPr>
              <w:t xml:space="preserve">Actions japonaises</w:t>
            </w:r>
          </w:p>
        </w:tc>
        <w:tc>
          <w:tcPr>
            <w:tcW w:type="dxa" w:w="1400"/>
            <w:shd w:fill="FFFFFF" w:val="clear"/>
            <w:tcMar>
              <w:top w:type="dxa" w:w="90"/>
              <w:left w:type="dxa" w:w="130"/>
              <w:bottom w:type="dxa" w:w="90"/>
              <w:right w:type="dxa" w:w="130"/>
            </w:tcMar>
          </w:tcPr>
          <w:p>
            <w:pPr>
              <w:jc w:val="right"/>
            </w:pPr>
            <w:r>
              <w:rPr>
                <w:b w:val="false"/>
                <w:bCs w:val="false"/>
                <w:sz w:val="19"/>
                <w:szCs w:val="19"/>
              </w:rPr>
              <w:t xml:space="preserve">3 %</w:t>
            </w:r>
          </w:p>
        </w:tc>
        <w:tc>
          <w:tcPr>
            <w:tcW w:type="dxa" w:w="1800"/>
            <w:shd w:fill="FFFFFF" w:val="clear"/>
            <w:tcMar>
              <w:top w:type="dxa" w:w="90"/>
              <w:left w:type="dxa" w:w="130"/>
              <w:bottom w:type="dxa" w:w="90"/>
              <w:right w:type="dxa" w:w="130"/>
            </w:tcMar>
          </w:tcPr>
          <w:p>
            <w:pPr>
              <w:jc w:val="right"/>
            </w:pPr>
            <w:r>
              <w:rPr>
                <w:b w:val="false"/>
                <w:bCs w:val="false"/>
                <w:sz w:val="19"/>
                <w:szCs w:val="19"/>
              </w:rPr>
              <w:t xml:space="preserve">3,0 M€</w:t>
            </w:r>
          </w:p>
        </w:tc>
        <w:tc>
          <w:tcPr>
            <w:tcW w:type="dxa" w:w="2560"/>
            <w:shd w:fill="FFFFFF" w:val="clear"/>
            <w:tcMar>
              <w:top w:type="dxa" w:w="90"/>
              <w:left w:type="dxa" w:w="130"/>
              <w:bottom w:type="dxa" w:w="90"/>
              <w:right w:type="dxa" w:w="130"/>
            </w:tcMar>
          </w:tcPr>
          <w:p>
            <w:pPr>
              <w:jc w:val="right"/>
            </w:pPr>
            <w:r>
              <w:rPr>
                <w:b w:val="false"/>
                <w:bCs w:val="false"/>
                <w:sz w:val="19"/>
                <w:szCs w:val="19"/>
              </w:rPr>
              <w:t xml:space="preserve">9,44 %</w:t>
            </w:r>
          </w:p>
        </w:tc>
      </w:tr>
      <w:tr>
        <w:tc>
          <w:tcPr>
            <w:tcW w:type="dxa" w:w="3600"/>
            <w:shd w:fill="F7F8FA" w:val="clear"/>
            <w:tcMar>
              <w:top w:type="dxa" w:w="90"/>
              <w:left w:type="dxa" w:w="130"/>
              <w:bottom w:type="dxa" w:w="90"/>
              <w:right w:type="dxa" w:w="130"/>
            </w:tcMar>
          </w:tcPr>
          <w:p>
            <w:pPr>
              <w:jc w:val="left"/>
            </w:pPr>
            <w:r>
              <w:rPr>
                <w:b w:val="false"/>
                <w:bCs w:val="false"/>
                <w:sz w:val="19"/>
                <w:szCs w:val="19"/>
              </w:rPr>
              <w:t xml:space="preserve">Or</w:t>
            </w:r>
          </w:p>
        </w:tc>
        <w:tc>
          <w:tcPr>
            <w:tcW w:type="dxa" w:w="1400"/>
            <w:shd w:fill="F7F8FA" w:val="clear"/>
            <w:tcMar>
              <w:top w:type="dxa" w:w="90"/>
              <w:left w:type="dxa" w:w="130"/>
              <w:bottom w:type="dxa" w:w="90"/>
              <w:right w:type="dxa" w:w="130"/>
            </w:tcMar>
          </w:tcPr>
          <w:p>
            <w:pPr>
              <w:jc w:val="right"/>
            </w:pPr>
            <w:r>
              <w:rPr>
                <w:b w:val="false"/>
                <w:bCs w:val="false"/>
                <w:sz w:val="19"/>
                <w:szCs w:val="19"/>
              </w:rPr>
              <w:t xml:space="preserve">3 %</w:t>
            </w:r>
          </w:p>
        </w:tc>
        <w:tc>
          <w:tcPr>
            <w:tcW w:type="dxa" w:w="1800"/>
            <w:shd w:fill="F7F8FA" w:val="clear"/>
            <w:tcMar>
              <w:top w:type="dxa" w:w="90"/>
              <w:left w:type="dxa" w:w="130"/>
              <w:bottom w:type="dxa" w:w="90"/>
              <w:right w:type="dxa" w:w="130"/>
            </w:tcMar>
          </w:tcPr>
          <w:p>
            <w:pPr>
              <w:jc w:val="right"/>
            </w:pPr>
            <w:r>
              <w:rPr>
                <w:b w:val="false"/>
                <w:bCs w:val="false"/>
                <w:sz w:val="19"/>
                <w:szCs w:val="19"/>
              </w:rPr>
              <w:t xml:space="preserve">3,3 M€</w:t>
            </w:r>
          </w:p>
        </w:tc>
        <w:tc>
          <w:tcPr>
            <w:tcW w:type="dxa" w:w="2560"/>
            <w:shd w:fill="F7F8FA" w:val="clear"/>
            <w:tcMar>
              <w:top w:type="dxa" w:w="90"/>
              <w:left w:type="dxa" w:w="130"/>
              <w:bottom w:type="dxa" w:w="90"/>
              <w:right w:type="dxa" w:w="130"/>
            </w:tcMar>
          </w:tcPr>
          <w:p>
            <w:pPr>
              <w:jc w:val="right"/>
            </w:pPr>
            <w:r>
              <w:rPr>
                <w:b w:val="false"/>
                <w:bCs w:val="false"/>
                <w:sz w:val="19"/>
                <w:szCs w:val="19"/>
              </w:rPr>
              <w:t xml:space="preserve">4,00 %</w:t>
            </w:r>
          </w:p>
        </w:tc>
      </w:tr>
    </w:tbl>
    <w:p>
      <w:pPr>
        <w:spacing w:after="160"/>
      </w:pPr>
    </w:p>
    <w:p>
      <w:pPr>
        <w:spacing w:after="120" w:line="276"/>
        <w:jc w:val="both"/>
      </w:pPr>
      <w:r>
        <w:rPr>
          <w:b w:val="false"/>
          <w:bCs w:val="false"/>
        </w:rPr>
        <w:t xml:space="preserve"/>
      </w:r>
      <w:r>
        <w:rPr>
          <w:b/>
          <w:bCs/>
        </w:rPr>
        <w:t xml:space="preserve">30 % d'actions, 66 % d'obligations, 3 % d'or.</w:t>
      </w:r>
      <w:r>
        <w:rPr>
          <w:b w:val="false"/>
          <w:bCs w:val="false"/>
        </w:rPr>
        <w:t xml:space="preserve"> Rendement espéré 5,31 %, pire baisse 14,0 %. Les actions font 30 % du patrimoine mais 48 % du rendement espéré : elles portent l'objectif, les obligations tiennent la limite.</w:t>
      </w:r>
    </w:p>
    <w:p>
      <w:r>
        <w:br w:type="page"/>
      </w:r>
    </w:p>
    <w:p>
      <w:pPr>
        <w:pStyle w:val="Heading1"/>
        <w:spacing w:after="160" w:before="360"/>
      </w:pPr>
      <w:r>
        <w:t xml:space="preserve">6. Étape 5 — Ce que le backtest prouve, et ce qu'il ne prouve pas</w:t>
      </w:r>
    </w:p>
    <w:tbl>
      <w:tblPr>
        <w:tblW w:type="dxa" w:w="9360"/>
        <w:tblBorders>
          <w:top w:val="single" w:color="C9CFD6" w:sz="2"/>
          <w:left w:val="single" w:color="14304F" w:sz="12"/>
          <w:bottom w:val="single" w:color="C9CFD6" w:sz="2"/>
          <w:right w:val="single" w:color="C9CFD6" w:sz="2"/>
          <w:insideH w:val="none"/>
          <w:insideV w:val="none"/>
        </w:tblBorders>
      </w:tblPr>
      <w:tblGrid>
        <w:gridCol w:w="9360"/>
      </w:tblGrid>
      <w:tr>
        <w:tc>
          <w:tcPr>
            <w:tcW w:type="dxa" w:w="9360"/>
            <w:shd w:fill="F2F4F7" w:val="clear"/>
            <w:tcMar>
              <w:top w:type="dxa" w:w="160"/>
              <w:left w:type="dxa" w:w="200"/>
              <w:bottom w:type="dxa" w:w="160"/>
              <w:right w:type="dxa" w:w="200"/>
            </w:tcMar>
          </w:tcPr>
          <w:p>
            <w:pPr>
              <w:spacing w:after="80"/>
            </w:pPr>
            <w:r>
              <w:rPr>
                <w:b/>
                <w:bCs/>
                <w:color w:val="14304F"/>
              </w:rPr>
              <w:t xml:space="preserve">À dire avant qu'on vous le reproche</w:t>
            </w:r>
          </w:p>
          <w:p>
            <w:pPr>
              <w:spacing w:after="120" w:line="276"/>
              <w:jc w:val="both"/>
            </w:pPr>
            <w:r>
              <w:rPr>
                <w:b w:val="false"/>
                <w:bCs w:val="false"/>
              </w:rPr>
              <w:t xml:space="preserve">Les vingt années de données sont </w:t>
            </w:r>
            <w:r>
              <w:rPr>
                <w:b/>
                <w:bCs/>
              </w:rPr>
              <w:t xml:space="preserve">celles qui ont servi à construire le portefeuille</w:t>
            </w:r>
            <w:r>
              <w:rPr>
                <w:b w:val="false"/>
                <w:bCs w:val="false"/>
              </w:rPr>
              <w:t xml:space="preserve">. L'étape 4 a cherché une répartition qui ne perde jamais plus de 14 % sur cette période : qu'elle n'y perde pas plus de 14 % est donc </w:t>
            </w:r>
            <w:r>
              <w:rPr>
                <w:b/>
                <w:bCs/>
              </w:rPr>
              <w:t xml:space="preserve">acquis d'avance</w:t>
            </w:r>
            <w:r>
              <w:rPr>
                <w:b w:val="false"/>
                <w:bCs w:val="false"/>
              </w:rPr>
              <w:t xml:space="preserve"> et ne dit rien de la prochaine crise.</w:t>
            </w:r>
          </w:p>
          <w:p>
            <w:pPr>
              <w:spacing w:after="120" w:line="276"/>
              <w:jc w:val="both"/>
            </w:pPr>
            <w:r>
              <w:rPr>
                <w:b w:val="false"/>
                <w:bCs w:val="false"/>
              </w:rPr>
              <w:t xml:space="preserve">Le rejeu sert à mesurer ce que le calcul n'a pas regardé : la </w:t>
            </w:r>
            <w:r>
              <w:rPr>
                <w:b/>
                <w:bCs/>
              </w:rPr>
              <w:t xml:space="preserve">durée</w:t>
            </w:r>
            <w:r>
              <w:rPr>
                <w:b w:val="false"/>
                <w:bCs w:val="false"/>
              </w:rPr>
              <w:t xml:space="preserve"> des baisses et la fréquence des mauvaises années.</w:t>
            </w:r>
          </w:p>
        </w:tc>
      </w:tr>
    </w:tbl>
    <w:p>
      <w:pPr>
        <w:pStyle w:val="Heading2"/>
        <w:spacing w:after="120" w:before="280"/>
      </w:pPr>
      <w:r>
        <w:t xml:space="preserve">6.1 Le parcours</w:t>
      </w:r>
    </w:p>
    <w:p>
      <w:pPr>
        <w:spacing w:after="120" w:line="276"/>
        <w:jc w:val="both"/>
      </w:pPr>
      <w:r>
        <w:rPr>
          <w:b w:val="false"/>
          <w:bCs w:val="false"/>
        </w:rPr>
        <w:t xml:space="preserve">100 M€ en octobre 2006 deviennent 239 M€ en septembre 2026, soit </w:t>
      </w:r>
      <w:r>
        <w:rPr>
          <w:b/>
          <w:bCs/>
        </w:rPr>
        <w:t xml:space="preserve">4,47 % par an</w:t>
      </w:r>
      <w:r>
        <w:rPr>
          <w:b w:val="false"/>
          <w:bCs w:val="false"/>
        </w:rPr>
        <w:t xml:space="preserve">, rééquilibrage mensuel. Pire baisse 14,0 % (2008 et 2020).</w:t>
      </w:r>
    </w:p>
    <w:p>
      <w:pPr>
        <w:pStyle w:val="Heading2"/>
        <w:spacing w:after="120" w:before="280"/>
      </w:pPr>
      <w:r>
        <w:t xml:space="preserve">6.2 La durée, qui est le vrai enseignement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0"/>
        <w:gridCol w:w="2960"/>
      </w:tblGrid>
      <w:tr>
        <w:trPr>
          <w:tblHeader/>
        </w:trPr>
        <w:tc>
          <w:tcPr>
            <w:tcW w:type="dxa" w:w="6400"/>
            <w:shd w:fill="14304F" w:val="clear"/>
            <w:tcMar>
              <w:top w:type="dxa" w:w="90"/>
              <w:left w:type="dxa" w:w="130"/>
              <w:bottom w:type="dxa" w:w="90"/>
              <w:right w:type="dxa" w:w="130"/>
            </w:tcMar>
          </w:tcPr>
          <w:p>
            <w:pPr>
              <w:jc w:val="left"/>
            </w:pPr>
            <w:r>
              <w:rPr>
                <w:b/>
                <w:bCs/>
                <w:color w:val="FFFFFF"/>
                <w:sz w:val="19"/>
                <w:szCs w:val="19"/>
              </w:rPr>
              <w:t xml:space="preserve">Mesure</w:t>
            </w:r>
          </w:p>
        </w:tc>
        <w:tc>
          <w:tcPr>
            <w:tcW w:type="dxa" w:w="2960"/>
            <w:shd w:fill="14304F" w:val="clear"/>
            <w:tcMar>
              <w:top w:type="dxa" w:w="90"/>
              <w:left w:type="dxa" w:w="130"/>
              <w:bottom w:type="dxa" w:w="90"/>
              <w:right w:type="dxa" w:w="130"/>
            </w:tcMar>
          </w:tcPr>
          <w:p>
            <w:pPr>
              <w:jc w:val="right"/>
            </w:pPr>
            <w:r>
              <w:rPr>
                <w:b/>
                <w:bCs/>
                <w:color w:val="FFFFFF"/>
                <w:sz w:val="19"/>
                <w:szCs w:val="19"/>
              </w:rPr>
              <w:t xml:space="preserve">Valeur</w:t>
            </w:r>
          </w:p>
        </w:tc>
      </w:tr>
      <w:tr>
        <w:tc>
          <w:tcPr>
            <w:tcW w:type="dxa" w:w="6400"/>
            <w:shd w:fill="FFFFFF" w:val="clear"/>
            <w:tcMar>
              <w:top w:type="dxa" w:w="90"/>
              <w:left w:type="dxa" w:w="130"/>
              <w:bottom w:type="dxa" w:w="90"/>
              <w:right w:type="dxa" w:w="130"/>
            </w:tcMar>
          </w:tcPr>
          <w:p>
            <w:pPr>
              <w:jc w:val="left"/>
            </w:pPr>
            <w:r>
              <w:rPr>
                <w:b w:val="false"/>
                <w:bCs w:val="false"/>
                <w:sz w:val="19"/>
                <w:szCs w:val="19"/>
              </w:rPr>
              <w:t xml:space="preserve">Temps passé à plus de 1 % sous le plus haut</w:t>
            </w:r>
          </w:p>
        </w:tc>
        <w:tc>
          <w:tcPr>
            <w:tcW w:type="dxa" w:w="2960"/>
            <w:shd w:fill="FFFFFF" w:val="clear"/>
            <w:tcMar>
              <w:top w:type="dxa" w:w="90"/>
              <w:left w:type="dxa" w:w="130"/>
              <w:bottom w:type="dxa" w:w="90"/>
              <w:right w:type="dxa" w:w="130"/>
            </w:tcMar>
          </w:tcPr>
          <w:p>
            <w:pPr>
              <w:jc w:val="right"/>
            </w:pPr>
            <w:r>
              <w:rPr>
                <w:b w:val="false"/>
                <w:bCs w:val="false"/>
                <w:sz w:val="19"/>
                <w:szCs w:val="19"/>
              </w:rPr>
              <w:t xml:space="preserve">53 %</w:t>
            </w:r>
          </w:p>
        </w:tc>
      </w:tr>
      <w:tr>
        <w:tc>
          <w:tcPr>
            <w:tcW w:type="dxa" w:w="6400"/>
            <w:shd w:fill="F7F8FA" w:val="clear"/>
            <w:tcMar>
              <w:top w:type="dxa" w:w="90"/>
              <w:left w:type="dxa" w:w="130"/>
              <w:bottom w:type="dxa" w:w="90"/>
              <w:right w:type="dxa" w:w="130"/>
            </w:tcMar>
          </w:tcPr>
          <w:p>
            <w:pPr>
              <w:jc w:val="left"/>
            </w:pPr>
            <w:r>
              <w:rPr>
                <w:b w:val="false"/>
                <w:bCs w:val="false"/>
                <w:sz w:val="19"/>
                <w:szCs w:val="19"/>
              </w:rPr>
              <w:t xml:space="preserve">Temps passé à plus de 5 % sous le plus haut</w:t>
            </w:r>
          </w:p>
        </w:tc>
        <w:tc>
          <w:tcPr>
            <w:tcW w:type="dxa" w:w="2960"/>
            <w:shd w:fill="F7F8FA" w:val="clear"/>
            <w:tcMar>
              <w:top w:type="dxa" w:w="90"/>
              <w:left w:type="dxa" w:w="130"/>
              <w:bottom w:type="dxa" w:w="90"/>
              <w:right w:type="dxa" w:w="130"/>
            </w:tcMar>
          </w:tcPr>
          <w:p>
            <w:pPr>
              <w:jc w:val="right"/>
            </w:pPr>
            <w:r>
              <w:rPr>
                <w:b w:val="false"/>
                <w:bCs w:val="false"/>
                <w:sz w:val="19"/>
                <w:szCs w:val="19"/>
              </w:rPr>
              <w:t xml:space="preserve">17 %</w:t>
            </w:r>
          </w:p>
        </w:tc>
      </w:tr>
      <w:tr>
        <w:tc>
          <w:tcPr>
            <w:tcW w:type="dxa" w:w="6400"/>
            <w:shd w:fill="FFFFFF" w:val="clear"/>
            <w:tcMar>
              <w:top w:type="dxa" w:w="90"/>
              <w:left w:type="dxa" w:w="130"/>
              <w:bottom w:type="dxa" w:w="90"/>
              <w:right w:type="dxa" w:w="130"/>
            </w:tcMar>
          </w:tcPr>
          <w:p>
            <w:pPr>
              <w:jc w:val="left"/>
            </w:pPr>
            <w:r>
              <w:rPr>
                <w:b w:val="false"/>
                <w:bCs w:val="false"/>
                <w:sz w:val="19"/>
                <w:szCs w:val="19"/>
              </w:rPr>
              <w:t xml:space="preserve">Temps passé à plus de 10 % sous le plus haut</w:t>
            </w:r>
          </w:p>
        </w:tc>
        <w:tc>
          <w:tcPr>
            <w:tcW w:type="dxa" w:w="2960"/>
            <w:shd w:fill="FFFFFF" w:val="clear"/>
            <w:tcMar>
              <w:top w:type="dxa" w:w="90"/>
              <w:left w:type="dxa" w:w="130"/>
              <w:bottom w:type="dxa" w:w="90"/>
              <w:right w:type="dxa" w:w="130"/>
            </w:tcMar>
          </w:tcPr>
          <w:p>
            <w:pPr>
              <w:jc w:val="right"/>
            </w:pPr>
            <w:r>
              <w:rPr>
                <w:b w:val="false"/>
                <w:bCs w:val="false"/>
                <w:sz w:val="19"/>
                <w:szCs w:val="19"/>
              </w:rPr>
              <w:t xml:space="preserve">4 %</w:t>
            </w:r>
          </w:p>
        </w:tc>
      </w:tr>
      <w:tr>
        <w:tc>
          <w:tcPr>
            <w:tcW w:type="dxa" w:w="6400"/>
            <w:shd w:fill="F7F8FA" w:val="clear"/>
            <w:tcMar>
              <w:top w:type="dxa" w:w="90"/>
              <w:left w:type="dxa" w:w="130"/>
              <w:bottom w:type="dxa" w:w="90"/>
              <w:right w:type="dxa" w:w="130"/>
            </w:tcMar>
          </w:tcPr>
          <w:p>
            <w:pPr>
              <w:jc w:val="left"/>
            </w:pPr>
            <w:r>
              <w:rPr>
                <w:b w:val="false"/>
                <w:bCs w:val="false"/>
                <w:sz w:val="19"/>
                <w:szCs w:val="19"/>
              </w:rPr>
              <w:t xml:space="preserve">Plus longue période sous l'eau (2022)</w:t>
            </w:r>
          </w:p>
        </w:tc>
        <w:tc>
          <w:tcPr>
            <w:tcW w:type="dxa" w:w="2960"/>
            <w:shd w:fill="F7F8FA" w:val="clear"/>
            <w:tcMar>
              <w:top w:type="dxa" w:w="90"/>
              <w:left w:type="dxa" w:w="130"/>
              <w:bottom w:type="dxa" w:w="90"/>
              <w:right w:type="dxa" w:w="130"/>
            </w:tcMar>
          </w:tcPr>
          <w:p>
            <w:pPr>
              <w:jc w:val="right"/>
            </w:pPr>
            <w:r>
              <w:rPr>
                <w:b w:val="false"/>
                <w:bCs w:val="false"/>
                <w:sz w:val="19"/>
                <w:szCs w:val="19"/>
              </w:rPr>
              <w:t xml:space="preserve">32 mois</w:t>
            </w:r>
          </w:p>
        </w:tc>
      </w:tr>
    </w:tbl>
    <w:p>
      <w:pPr>
        <w:spacing w:after="160"/>
      </w:pPr>
    </w:p>
    <w:p>
      <w:pPr>
        <w:spacing w:after="120" w:line="276"/>
        <w:jc w:val="both"/>
      </w:pPr>
      <w:r>
        <w:rPr>
          <w:b w:val="false"/>
          <w:bCs w:val="false"/>
        </w:rPr>
        <w:t xml:space="preserve"/>
      </w:r>
      <w:r>
        <w:rPr>
          <w:b/>
          <w:bCs/>
        </w:rPr>
        <w:t xml:space="preserve">2022 est la crise la plus instructive du lot</w:t>
      </w:r>
      <w:r>
        <w:rPr>
          <w:b w:val="false"/>
          <w:bCs w:val="false"/>
        </w:rPr>
        <w:t xml:space="preserve"> : 32 mois sous l'eau pour une baisse pourtant moindre qu'en 2008. La raison est que les obligations ont baissé </w:t>
      </w:r>
      <w:r>
        <w:rPr>
          <w:b/>
          <w:bCs/>
        </w:rPr>
        <w:t xml:space="preserve">avec</w:t>
      </w:r>
      <w:r>
        <w:rPr>
          <w:b w:val="false"/>
          <w:bCs w:val="false"/>
        </w:rPr>
        <w:t xml:space="preserve"> les actions, ce qu'un portefeuille équilibré classique ne prévoit pas. C'est le régime que redoute précisément le client.</w:t>
      </w:r>
    </w:p>
    <w:p>
      <w:pPr>
        <w:pStyle w:val="Heading2"/>
        <w:spacing w:after="120" w:before="280"/>
      </w:pPr>
      <w:r>
        <w:t xml:space="preserve">6.3 À quoi ressemble une mauvaise année</w:t>
      </w:r>
    </w:p>
    <w:p>
      <w:pPr>
        <w:spacing w:after="120" w:line="276"/>
        <w:jc w:val="both"/>
      </w:pPr>
      <w:r>
        <w:rPr>
          <w:b w:val="false"/>
          <w:bCs w:val="false"/>
        </w:rPr>
        <w:t xml:space="preserve">Sur 228 années glissantes, à chaque fin de mois depuis octobre 2007 : VaR 95 % à −6,5 %, CVaR 95 % à −8,5 %, pire année −11,4 %, 18 % des années en perte.</w:t>
      </w:r>
    </w:p>
    <w:p>
      <w:pPr>
        <w:spacing w:after="120" w:line="276"/>
        <w:jc w:val="both"/>
      </w:pPr>
      <w:r>
        <w:rPr>
          <w:b w:val="false"/>
          <w:bCs w:val="false"/>
        </w:rPr>
        <w:t xml:space="preserve"/>
      </w:r>
      <w:r>
        <w:rPr>
          <w:b/>
          <w:bCs/>
        </w:rPr>
        <w:t xml:space="preserve">Le point de lecture</w:t>
      </w:r>
      <w:r>
        <w:rPr>
          <w:b w:val="false"/>
          <w:bCs w:val="false"/>
        </w:rPr>
        <w:t xml:space="preserve"> : la pire année fait −11,4 % alors que la pire baisse atteint 14 %. L'écart vient des baisses longues — en 2008 comme en 2022, la perte s'est accumulée sur plus d'un an. C'est exactement pour cela que la limite a été mesurée depuis le plus haut et non sur douze mois : une limite annuelle aurait laissé passer ces baisses.</w:t>
      </w:r>
    </w:p>
    <w:p>
      <w:pPr>
        <w:pStyle w:val="Heading2"/>
        <w:spacing w:after="120" w:before="280"/>
      </w:pPr>
      <w:r>
        <w:t xml:space="preserve">6.4 La variante testée et écartée : viser 4 % au-dessus de l'inflation</w:t>
      </w:r>
    </w:p>
    <w:p>
      <w:pPr>
        <w:spacing w:after="120" w:line="276"/>
        <w:jc w:val="both"/>
      </w:pPr>
      <w:r>
        <w:rPr>
          <w:b w:val="false"/>
          <w:bCs w:val="false"/>
        </w:rPr>
        <w:t xml:space="preserve">Si l'objectif était 4 % </w:t>
      </w:r>
      <w:r>
        <w:rPr>
          <w:b/>
          <w:bCs/>
        </w:rPr>
        <w:t xml:space="preserve">réel</w:t>
      </w:r>
      <w:r>
        <w:rPr>
          <w:b w:val="false"/>
          <w:bCs w:val="false"/>
        </w:rPr>
        <w:t xml:space="preserve">, soit 8 % nominal, il serait hors d'atteinte sous la règle de l'étape 4 : le plafond y est de 6,47 %. En remplaçant le pire cas par une limite en fréquence (dépasser 15 % au plus une année sur vingt), la cible devient atteignable — mais à un prix qui la disqualifie.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400"/>
        <w:gridCol w:w="1600"/>
        <w:gridCol w:w="1700"/>
        <w:gridCol w:w="1760"/>
      </w:tblGrid>
      <w:tr>
        <w:trPr>
          <w:tblHeader/>
        </w:trPr>
        <w:tc>
          <w:tcPr>
            <w:tcW w:type="dxa" w:w="2900"/>
            <w:shd w:fill="14304F" w:val="clear"/>
            <w:tcMar>
              <w:top w:type="dxa" w:w="90"/>
              <w:left w:type="dxa" w:w="130"/>
              <w:bottom w:type="dxa" w:w="90"/>
              <w:right w:type="dxa" w:w="130"/>
            </w:tcMar>
          </w:tcPr>
          <w:p>
            <w:pPr>
              <w:jc w:val="left"/>
            </w:pPr>
            <w:r>
              <w:rPr>
                <w:b/>
                <w:bCs/>
                <w:color w:val="FFFFFF"/>
                <w:sz w:val="19"/>
                <w:szCs w:val="19"/>
              </w:rPr>
              <w:t xml:space="preserve">Contrainte de risque</w:t>
            </w:r>
          </w:p>
        </w:tc>
        <w:tc>
          <w:tcPr>
            <w:tcW w:type="dxa" w:w="1400"/>
            <w:shd w:fill="14304F" w:val="clear"/>
            <w:tcMar>
              <w:top w:type="dxa" w:w="90"/>
              <w:left w:type="dxa" w:w="130"/>
              <w:bottom w:type="dxa" w:w="90"/>
              <w:right w:type="dxa" w:w="130"/>
            </w:tcMar>
          </w:tcPr>
          <w:p>
            <w:pPr>
              <w:jc w:val="right"/>
            </w:pPr>
            <w:r>
              <w:rPr>
                <w:b/>
                <w:bCs/>
                <w:color w:val="FFFFFF"/>
                <w:sz w:val="19"/>
                <w:szCs w:val="19"/>
              </w:rPr>
              <w:t xml:space="preserve">Rdt max</w:t>
            </w:r>
          </w:p>
        </w:tc>
        <w:tc>
          <w:tcPr>
            <w:tcW w:type="dxa" w:w="1600"/>
            <w:shd w:fill="14304F" w:val="clear"/>
            <w:tcMar>
              <w:top w:type="dxa" w:w="90"/>
              <w:left w:type="dxa" w:w="130"/>
              <w:bottom w:type="dxa" w:w="90"/>
              <w:right w:type="dxa" w:w="130"/>
            </w:tcMar>
          </w:tcPr>
          <w:p>
            <w:pPr>
              <w:jc w:val="right"/>
            </w:pPr>
            <w:r>
              <w:rPr>
                <w:b/>
                <w:bCs/>
                <w:color w:val="FFFFFF"/>
                <w:sz w:val="19"/>
                <w:szCs w:val="19"/>
              </w:rPr>
              <w:t xml:space="preserve">VaR 95 %</w:t>
            </w:r>
          </w:p>
        </w:tc>
        <w:tc>
          <w:tcPr>
            <w:tcW w:type="dxa" w:w="1700"/>
            <w:shd w:fill="14304F" w:val="clear"/>
            <w:tcMar>
              <w:top w:type="dxa" w:w="90"/>
              <w:left w:type="dxa" w:w="130"/>
              <w:bottom w:type="dxa" w:w="90"/>
              <w:right w:type="dxa" w:w="130"/>
            </w:tcMar>
          </w:tcPr>
          <w:p>
            <w:pPr>
              <w:jc w:val="right"/>
            </w:pPr>
            <w:r>
              <w:rPr>
                <w:b/>
                <w:bCs/>
                <w:color w:val="FFFFFF"/>
                <w:sz w:val="19"/>
                <w:szCs w:val="19"/>
              </w:rPr>
              <w:t xml:space="preserve">CVaR 95 %</w:t>
            </w:r>
          </w:p>
        </w:tc>
        <w:tc>
          <w:tcPr>
            <w:tcW w:type="dxa" w:w="1760"/>
            <w:shd w:fill="14304F" w:val="clear"/>
            <w:tcMar>
              <w:top w:type="dxa" w:w="90"/>
              <w:left w:type="dxa" w:w="130"/>
              <w:bottom w:type="dxa" w:w="90"/>
              <w:right w:type="dxa" w:w="130"/>
            </w:tcMar>
          </w:tcPr>
          <w:p>
            <w:pPr>
              <w:jc w:val="right"/>
            </w:pPr>
            <w:r>
              <w:rPr>
                <w:b/>
                <w:bCs/>
                <w:color w:val="FFFFFF"/>
                <w:sz w:val="19"/>
                <w:szCs w:val="19"/>
              </w:rPr>
              <w:t xml:space="preserve">Pire baisse</w:t>
            </w:r>
          </w:p>
        </w:tc>
      </w:tr>
      <w:tr>
        <w:tc>
          <w:tcPr>
            <w:tcW w:type="dxa" w:w="2900"/>
            <w:shd w:fill="FFFFFF" w:val="clear"/>
            <w:tcMar>
              <w:top w:type="dxa" w:w="90"/>
              <w:left w:type="dxa" w:w="130"/>
              <w:bottom w:type="dxa" w:w="90"/>
              <w:right w:type="dxa" w:w="130"/>
            </w:tcMar>
          </w:tcPr>
          <w:p>
            <w:pPr>
              <w:jc w:val="left"/>
            </w:pPr>
            <w:r>
              <w:rPr>
                <w:b w:val="false"/>
                <w:bCs w:val="false"/>
                <w:sz w:val="19"/>
                <w:szCs w:val="19"/>
              </w:rPr>
              <w:t xml:space="preserve">Pire baisse ≥ −15 % (retenue)</w:t>
            </w:r>
          </w:p>
        </w:tc>
        <w:tc>
          <w:tcPr>
            <w:tcW w:type="dxa" w:w="1400"/>
            <w:shd w:fill="FFFFFF" w:val="clear"/>
            <w:tcMar>
              <w:top w:type="dxa" w:w="90"/>
              <w:left w:type="dxa" w:w="130"/>
              <w:bottom w:type="dxa" w:w="90"/>
              <w:right w:type="dxa" w:w="130"/>
            </w:tcMar>
          </w:tcPr>
          <w:p>
            <w:pPr>
              <w:jc w:val="right"/>
            </w:pPr>
            <w:r>
              <w:rPr>
                <w:b w:val="false"/>
                <w:bCs w:val="false"/>
                <w:sz w:val="19"/>
                <w:szCs w:val="19"/>
              </w:rPr>
              <w:t xml:space="preserve">6,47 %</w:t>
            </w:r>
          </w:p>
        </w:tc>
        <w:tc>
          <w:tcPr>
            <w:tcW w:type="dxa" w:w="1600"/>
            <w:shd w:fill="FFFFFF" w:val="clear"/>
            <w:tcMar>
              <w:top w:type="dxa" w:w="90"/>
              <w:left w:type="dxa" w:w="130"/>
              <w:bottom w:type="dxa" w:w="90"/>
              <w:right w:type="dxa" w:w="130"/>
            </w:tcMar>
          </w:tcPr>
          <w:p>
            <w:pPr>
              <w:jc w:val="right"/>
            </w:pPr>
            <w:r>
              <w:rPr>
                <w:b w:val="false"/>
                <w:bCs w:val="false"/>
                <w:sz w:val="19"/>
                <w:szCs w:val="19"/>
              </w:rPr>
              <w:t xml:space="preserve">−6,9 %</w:t>
            </w:r>
          </w:p>
        </w:tc>
        <w:tc>
          <w:tcPr>
            <w:tcW w:type="dxa" w:w="1700"/>
            <w:shd w:fill="FFFFFF" w:val="clear"/>
            <w:tcMar>
              <w:top w:type="dxa" w:w="90"/>
              <w:left w:type="dxa" w:w="130"/>
              <w:bottom w:type="dxa" w:w="90"/>
              <w:right w:type="dxa" w:w="130"/>
            </w:tcMar>
          </w:tcPr>
          <w:p>
            <w:pPr>
              <w:jc w:val="right"/>
            </w:pPr>
            <w:r>
              <w:rPr>
                <w:b w:val="false"/>
                <w:bCs w:val="false"/>
                <w:sz w:val="19"/>
                <w:szCs w:val="19"/>
              </w:rPr>
              <w:t xml:space="preserve">−8,9 %</w:t>
            </w:r>
          </w:p>
        </w:tc>
        <w:tc>
          <w:tcPr>
            <w:tcW w:type="dxa" w:w="1760"/>
            <w:shd w:fill="FFFFFF" w:val="clear"/>
            <w:tcMar>
              <w:top w:type="dxa" w:w="90"/>
              <w:left w:type="dxa" w:w="130"/>
              <w:bottom w:type="dxa" w:w="90"/>
              <w:right w:type="dxa" w:w="130"/>
            </w:tcMar>
          </w:tcPr>
          <w:p>
            <w:pPr>
              <w:jc w:val="right"/>
            </w:pPr>
            <w:r>
              <w:rPr>
                <w:b w:val="false"/>
                <w:bCs w:val="false"/>
                <w:sz w:val="19"/>
                <w:szCs w:val="19"/>
              </w:rPr>
              <w:t xml:space="preserve">−15,0 %</w:t>
            </w:r>
          </w:p>
        </w:tc>
      </w:tr>
      <w:tr>
        <w:tc>
          <w:tcPr>
            <w:tcW w:type="dxa" w:w="2900"/>
            <w:shd w:fill="F7F8FA" w:val="clear"/>
            <w:tcMar>
              <w:top w:type="dxa" w:w="90"/>
              <w:left w:type="dxa" w:w="130"/>
              <w:bottom w:type="dxa" w:w="90"/>
              <w:right w:type="dxa" w:w="130"/>
            </w:tcMar>
          </w:tcPr>
          <w:p>
            <w:pPr>
              <w:jc w:val="left"/>
            </w:pPr>
            <w:r>
              <w:rPr>
                <w:b w:val="false"/>
                <w:bCs w:val="false"/>
                <w:sz w:val="19"/>
                <w:szCs w:val="19"/>
              </w:rPr>
              <w:t xml:space="preserve">VaR 95 % ≥ −15 %</w:t>
            </w:r>
          </w:p>
        </w:tc>
        <w:tc>
          <w:tcPr>
            <w:tcW w:type="dxa" w:w="1400"/>
            <w:shd w:fill="F7F8FA" w:val="clear"/>
            <w:tcMar>
              <w:top w:type="dxa" w:w="90"/>
              <w:left w:type="dxa" w:w="130"/>
              <w:bottom w:type="dxa" w:w="90"/>
              <w:right w:type="dxa" w:w="130"/>
            </w:tcMar>
          </w:tcPr>
          <w:p>
            <w:pPr>
              <w:jc w:val="right"/>
            </w:pPr>
            <w:r>
              <w:rPr>
                <w:b w:val="false"/>
                <w:bCs w:val="false"/>
                <w:sz w:val="19"/>
                <w:szCs w:val="19"/>
              </w:rPr>
              <w:t xml:space="preserve">8,42 %</w:t>
            </w:r>
          </w:p>
        </w:tc>
        <w:tc>
          <w:tcPr>
            <w:tcW w:type="dxa" w:w="1600"/>
            <w:shd w:fill="F7F8FA" w:val="clear"/>
            <w:tcMar>
              <w:top w:type="dxa" w:w="90"/>
              <w:left w:type="dxa" w:w="130"/>
              <w:bottom w:type="dxa" w:w="90"/>
              <w:right w:type="dxa" w:w="130"/>
            </w:tcMar>
          </w:tcPr>
          <w:p>
            <w:pPr>
              <w:jc w:val="right"/>
            </w:pPr>
            <w:r>
              <w:rPr>
                <w:b w:val="false"/>
                <w:bCs w:val="false"/>
                <w:sz w:val="19"/>
                <w:szCs w:val="19"/>
              </w:rPr>
              <w:t xml:space="preserve">−15,0 %</w:t>
            </w:r>
          </w:p>
        </w:tc>
        <w:tc>
          <w:tcPr>
            <w:tcW w:type="dxa" w:w="1700"/>
            <w:shd w:fill="F7F8FA" w:val="clear"/>
            <w:tcMar>
              <w:top w:type="dxa" w:w="90"/>
              <w:left w:type="dxa" w:w="130"/>
              <w:bottom w:type="dxa" w:w="90"/>
              <w:right w:type="dxa" w:w="130"/>
            </w:tcMar>
          </w:tcPr>
          <w:p>
            <w:pPr>
              <w:jc w:val="right"/>
            </w:pPr>
            <w:r>
              <w:rPr>
                <w:b w:val="false"/>
                <w:bCs w:val="false"/>
                <w:sz w:val="19"/>
                <w:szCs w:val="19"/>
              </w:rPr>
              <w:t xml:space="preserve"/>
            </w:r>
            <w:r>
              <w:rPr>
                <w:b/>
                <w:bCs/>
                <w:sz w:val="19"/>
                <w:szCs w:val="19"/>
              </w:rPr>
              <w:t xml:space="preserve">−29,5 %</w:t>
            </w:r>
            <w:r>
              <w:rPr>
                <w:b w:val="false"/>
                <w:bCs w:val="false"/>
                <w:sz w:val="19"/>
                <w:szCs w:val="19"/>
              </w:rPr>
              <w:t xml:space="preserve"/>
            </w:r>
          </w:p>
        </w:tc>
        <w:tc>
          <w:tcPr>
            <w:tcW w:type="dxa" w:w="1760"/>
            <w:shd w:fill="F7F8FA" w:val="clear"/>
            <w:tcMar>
              <w:top w:type="dxa" w:w="90"/>
              <w:left w:type="dxa" w:w="130"/>
              <w:bottom w:type="dxa" w:w="90"/>
              <w:right w:type="dxa" w:w="130"/>
            </w:tcMar>
          </w:tcPr>
          <w:p>
            <w:pPr>
              <w:jc w:val="right"/>
            </w:pPr>
            <w:r>
              <w:rPr>
                <w:b w:val="false"/>
                <w:bCs w:val="false"/>
                <w:sz w:val="19"/>
                <w:szCs w:val="19"/>
              </w:rPr>
              <w:t xml:space="preserve"/>
            </w:r>
            <w:r>
              <w:rPr>
                <w:b/>
                <w:bCs/>
                <w:sz w:val="19"/>
                <w:szCs w:val="19"/>
              </w:rPr>
              <w:t xml:space="preserve">−51,5 %</w:t>
            </w:r>
            <w:r>
              <w:rPr>
                <w:b w:val="false"/>
                <w:bCs w:val="false"/>
                <w:sz w:val="19"/>
                <w:szCs w:val="19"/>
              </w:rPr>
              <w:t xml:space="preserve"/>
            </w:r>
          </w:p>
        </w:tc>
      </w:tr>
      <w:tr>
        <w:tc>
          <w:tcPr>
            <w:tcW w:type="dxa" w:w="2900"/>
            <w:shd w:fill="FFFFFF" w:val="clear"/>
            <w:tcMar>
              <w:top w:type="dxa" w:w="90"/>
              <w:left w:type="dxa" w:w="130"/>
              <w:bottom w:type="dxa" w:w="90"/>
              <w:right w:type="dxa" w:w="130"/>
            </w:tcMar>
          </w:tcPr>
          <w:p>
            <w:pPr>
              <w:jc w:val="left"/>
            </w:pPr>
            <w:r>
              <w:rPr>
                <w:b w:val="false"/>
                <w:bCs w:val="false"/>
                <w:sz w:val="19"/>
                <w:szCs w:val="19"/>
              </w:rPr>
              <w:t xml:space="preserve">CVaR 95 % ≥ −15 %</w:t>
            </w:r>
          </w:p>
        </w:tc>
        <w:tc>
          <w:tcPr>
            <w:tcW w:type="dxa" w:w="1400"/>
            <w:shd w:fill="FFFFFF" w:val="clear"/>
            <w:tcMar>
              <w:top w:type="dxa" w:w="90"/>
              <w:left w:type="dxa" w:w="130"/>
              <w:bottom w:type="dxa" w:w="90"/>
              <w:right w:type="dxa" w:w="130"/>
            </w:tcMar>
          </w:tcPr>
          <w:p>
            <w:pPr>
              <w:jc w:val="right"/>
            </w:pPr>
            <w:r>
              <w:rPr>
                <w:b w:val="false"/>
                <w:bCs w:val="false"/>
                <w:sz w:val="19"/>
                <w:szCs w:val="19"/>
              </w:rPr>
              <w:t xml:space="preserve">7,77 %</w:t>
            </w:r>
          </w:p>
        </w:tc>
        <w:tc>
          <w:tcPr>
            <w:tcW w:type="dxa" w:w="1600"/>
            <w:shd w:fill="FFFFFF" w:val="clear"/>
            <w:tcMar>
              <w:top w:type="dxa" w:w="90"/>
              <w:left w:type="dxa" w:w="130"/>
              <w:bottom w:type="dxa" w:w="90"/>
              <w:right w:type="dxa" w:w="130"/>
            </w:tcMar>
          </w:tcPr>
          <w:p>
            <w:pPr>
              <w:jc w:val="right"/>
            </w:pPr>
            <w:r>
              <w:rPr>
                <w:b w:val="false"/>
                <w:bCs w:val="false"/>
                <w:sz w:val="19"/>
                <w:szCs w:val="19"/>
              </w:rPr>
              <w:t xml:space="preserve">−13,5 %</w:t>
            </w:r>
          </w:p>
        </w:tc>
        <w:tc>
          <w:tcPr>
            <w:tcW w:type="dxa" w:w="1700"/>
            <w:shd w:fill="FFFFFF" w:val="clear"/>
            <w:tcMar>
              <w:top w:type="dxa" w:w="90"/>
              <w:left w:type="dxa" w:w="130"/>
              <w:bottom w:type="dxa" w:w="90"/>
              <w:right w:type="dxa" w:w="130"/>
            </w:tcMar>
          </w:tcPr>
          <w:p>
            <w:pPr>
              <w:jc w:val="right"/>
            </w:pPr>
            <w:r>
              <w:rPr>
                <w:b w:val="false"/>
                <w:bCs w:val="false"/>
                <w:sz w:val="19"/>
                <w:szCs w:val="19"/>
              </w:rPr>
              <w:t xml:space="preserve">−15,0 %</w:t>
            </w:r>
          </w:p>
        </w:tc>
        <w:tc>
          <w:tcPr>
            <w:tcW w:type="dxa" w:w="1760"/>
            <w:shd w:fill="FFFFFF" w:val="clear"/>
            <w:tcMar>
              <w:top w:type="dxa" w:w="90"/>
              <w:left w:type="dxa" w:w="130"/>
              <w:bottom w:type="dxa" w:w="90"/>
              <w:right w:type="dxa" w:w="130"/>
            </w:tcMar>
          </w:tcPr>
          <w:p>
            <w:pPr>
              <w:jc w:val="right"/>
            </w:pPr>
            <w:r>
              <w:rPr>
                <w:b w:val="false"/>
                <w:bCs w:val="false"/>
                <w:sz w:val="19"/>
                <w:szCs w:val="19"/>
              </w:rPr>
              <w:t xml:space="preserve">−32,3 %</w:t>
            </w:r>
          </w:p>
        </w:tc>
      </w:tr>
      <w:tr>
        <w:tc>
          <w:tcPr>
            <w:tcW w:type="dxa" w:w="2900"/>
            <w:shd w:fill="F7F8FA" w:val="clear"/>
            <w:tcMar>
              <w:top w:type="dxa" w:w="90"/>
              <w:left w:type="dxa" w:w="130"/>
              <w:bottom w:type="dxa" w:w="90"/>
              <w:right w:type="dxa" w:w="130"/>
            </w:tcMar>
          </w:tcPr>
          <w:p>
            <w:pPr>
              <w:jc w:val="left"/>
            </w:pPr>
            <w:r>
              <w:rPr>
                <w:b w:val="false"/>
                <w:bCs w:val="false"/>
                <w:sz w:val="19"/>
                <w:szCs w:val="19"/>
              </w:rPr>
              <w:t xml:space="preserve">Aucune</w:t>
            </w:r>
          </w:p>
        </w:tc>
        <w:tc>
          <w:tcPr>
            <w:tcW w:type="dxa" w:w="1400"/>
            <w:shd w:fill="F7F8FA" w:val="clear"/>
            <w:tcMar>
              <w:top w:type="dxa" w:w="90"/>
              <w:left w:type="dxa" w:w="130"/>
              <w:bottom w:type="dxa" w:w="90"/>
              <w:right w:type="dxa" w:w="130"/>
            </w:tcMar>
          </w:tcPr>
          <w:p>
            <w:pPr>
              <w:jc w:val="right"/>
            </w:pPr>
            <w:r>
              <w:rPr>
                <w:b w:val="false"/>
                <w:bCs w:val="false"/>
                <w:sz w:val="19"/>
                <w:szCs w:val="19"/>
              </w:rPr>
              <w:t xml:space="preserve">9,44 %</w:t>
            </w:r>
          </w:p>
        </w:tc>
        <w:tc>
          <w:tcPr>
            <w:tcW w:type="dxa" w:w="1600"/>
            <w:shd w:fill="F7F8FA" w:val="clear"/>
            <w:tcMar>
              <w:top w:type="dxa" w:w="90"/>
              <w:left w:type="dxa" w:w="130"/>
              <w:bottom w:type="dxa" w:w="90"/>
              <w:right w:type="dxa" w:w="130"/>
            </w:tcMar>
          </w:tcPr>
          <w:p>
            <w:pPr>
              <w:jc w:val="right"/>
            </w:pPr>
            <w:r>
              <w:rPr>
                <w:b w:val="false"/>
                <w:bCs w:val="false"/>
                <w:sz w:val="19"/>
                <w:szCs w:val="19"/>
              </w:rPr>
              <w:t xml:space="preserve">−25,2 %</w:t>
            </w:r>
          </w:p>
        </w:tc>
        <w:tc>
          <w:tcPr>
            <w:tcW w:type="dxa" w:w="1700"/>
            <w:shd w:fill="F7F8FA" w:val="clear"/>
            <w:tcMar>
              <w:top w:type="dxa" w:w="90"/>
              <w:left w:type="dxa" w:w="130"/>
              <w:bottom w:type="dxa" w:w="90"/>
              <w:right w:type="dxa" w:w="130"/>
            </w:tcMar>
          </w:tcPr>
          <w:p>
            <w:pPr>
              <w:jc w:val="right"/>
            </w:pPr>
            <w:r>
              <w:rPr>
                <w:b w:val="false"/>
                <w:bCs w:val="false"/>
                <w:sz w:val="19"/>
                <w:szCs w:val="19"/>
              </w:rPr>
              <w:t xml:space="preserve">−27,0 %</w:t>
            </w:r>
          </w:p>
        </w:tc>
        <w:tc>
          <w:tcPr>
            <w:tcW w:type="dxa" w:w="1760"/>
            <w:shd w:fill="F7F8FA" w:val="clear"/>
            <w:tcMar>
              <w:top w:type="dxa" w:w="90"/>
              <w:left w:type="dxa" w:w="130"/>
              <w:bottom w:type="dxa" w:w="90"/>
              <w:right w:type="dxa" w:w="130"/>
            </w:tcMar>
          </w:tcPr>
          <w:p>
            <w:pPr>
              <w:jc w:val="right"/>
            </w:pPr>
            <w:r>
              <w:rPr>
                <w:b w:val="false"/>
                <w:bCs w:val="false"/>
                <w:sz w:val="19"/>
                <w:szCs w:val="19"/>
              </w:rPr>
              <w:t xml:space="preserve">−52,7 %</w:t>
            </w:r>
          </w:p>
        </w:tc>
      </w:tr>
    </w:tbl>
    <w:p>
      <w:pPr>
        <w:spacing w:after="160"/>
      </w:pPr>
    </w:p>
    <w:p>
      <w:pPr>
        <w:spacing w:after="120" w:line="276"/>
        <w:jc w:val="both"/>
      </w:pPr>
      <w:r>
        <w:rPr>
          <w:b w:val="false"/>
          <w:bCs w:val="false"/>
        </w:rPr>
        <w:t xml:space="preserve"/>
      </w:r>
      <w:r>
        <w:rPr>
          <w:b/>
          <w:bCs/>
        </w:rPr>
        <w:t xml:space="preserve">Trois raisons de refuser.</w:t>
      </w:r>
      <w:r>
        <w:rPr>
          <w:b w:val="false"/>
          <w:bCs w:val="false"/>
        </w:rPr>
        <w:t xml:space="preserve"> En CVaR — la mesure qui dit </w:t>
      </w:r>
      <w:r>
        <w:rPr>
          <w:b/>
          <w:bCs/>
        </w:rPr>
        <w:t xml:space="preserve">de combien</w:t>
      </w:r>
      <w:r>
        <w:rPr>
          <w:b w:val="false"/>
          <w:bCs w:val="false"/>
        </w:rPr>
        <w:t xml:space="preserve"> on dépasse — on plafonne à 7,77 %, sous la cible. En VaR la cible passe, mais la contrainte ne contraint plus rien : les années de dépassement coûtent 29,5 % en moyenne et 51,5 % au pire. Enfin, ces quantiles sont estimés sur des fenêtres qui se chevauchent et ne reposent que sur sept épisodes de baisse distincts en vingt ans.</w:t>
      </w:r>
    </w:p>
    <w:p>
      <w:pPr>
        <w:spacing w:after="120" w:line="276"/>
        <w:jc w:val="both"/>
      </w:pPr>
      <w:r>
        <w:rPr>
          <w:b w:val="false"/>
          <w:bCs w:val="false"/>
        </w:rPr>
        <w:t xml:space="preserve">Ces calculs sont conservés hors de l'application ; ils existent pour répondre à la question, pas pour être proposés.</w:t>
      </w:r>
    </w:p>
    <w:p>
      <w:r>
        <w:br w:type="page"/>
      </w:r>
    </w:p>
    <w:p>
      <w:pPr>
        <w:pStyle w:val="Heading1"/>
        <w:spacing w:after="160" w:before="360"/>
      </w:pPr>
      <w:r>
        <w:t xml:space="preserve">7. Les données : ce qui vient d'où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660"/>
      </w:tblGrid>
      <w:tr>
        <w:trPr>
          <w:tblHeader/>
        </w:trPr>
        <w:tc>
          <w:tcPr>
            <w:tcW w:type="dxa" w:w="2300"/>
            <w:shd w:fill="14304F" w:val="clear"/>
            <w:tcMar>
              <w:top w:type="dxa" w:w="90"/>
              <w:left w:type="dxa" w:w="130"/>
              <w:bottom w:type="dxa" w:w="90"/>
              <w:right w:type="dxa" w:w="130"/>
            </w:tcMar>
          </w:tcPr>
          <w:p>
            <w:pPr>
              <w:jc w:val="left"/>
            </w:pPr>
            <w:r>
              <w:rPr>
                <w:b/>
                <w:bCs/>
                <w:color w:val="FFFFFF"/>
                <w:sz w:val="19"/>
                <w:szCs w:val="19"/>
              </w:rPr>
              <w:t xml:space="preserve">Source</w:t>
            </w:r>
          </w:p>
        </w:tc>
        <w:tc>
          <w:tcPr>
            <w:tcW w:type="dxa" w:w="3400"/>
            <w:shd w:fill="14304F" w:val="clear"/>
            <w:tcMar>
              <w:top w:type="dxa" w:w="90"/>
              <w:left w:type="dxa" w:w="130"/>
              <w:bottom w:type="dxa" w:w="90"/>
              <w:right w:type="dxa" w:w="130"/>
            </w:tcMar>
          </w:tcPr>
          <w:p>
            <w:pPr>
              <w:jc w:val="right"/>
            </w:pPr>
            <w:r>
              <w:rPr>
                <w:b/>
                <w:bCs/>
                <w:color w:val="FFFFFF"/>
                <w:sz w:val="19"/>
                <w:szCs w:val="19"/>
              </w:rPr>
              <w:t xml:space="preserve">Ce qu'elle fournit</w:t>
            </w:r>
          </w:p>
        </w:tc>
        <w:tc>
          <w:tcPr>
            <w:tcW w:type="dxa" w:w="3660"/>
            <w:shd w:fill="14304F" w:val="clear"/>
            <w:tcMar>
              <w:top w:type="dxa" w:w="90"/>
              <w:left w:type="dxa" w:w="130"/>
              <w:bottom w:type="dxa" w:w="90"/>
              <w:right w:type="dxa" w:w="130"/>
            </w:tcMar>
          </w:tcPr>
          <w:p>
            <w:pPr>
              <w:jc w:val="right"/>
            </w:pPr>
            <w:r>
              <w:rPr>
                <w:b/>
                <w:bCs/>
                <w:color w:val="FFFFFF"/>
                <w:sz w:val="19"/>
                <w:szCs w:val="19"/>
              </w:rPr>
              <w:t xml:space="preserve">Limite connue</w:t>
            </w:r>
          </w:p>
        </w:tc>
      </w:tr>
      <w:tr>
        <w:tc>
          <w:tcPr>
            <w:tcW w:type="dxa" w:w="2300"/>
            <w:shd w:fill="FFFFFF" w:val="clear"/>
            <w:tcMar>
              <w:top w:type="dxa" w:w="90"/>
              <w:left w:type="dxa" w:w="130"/>
              <w:bottom w:type="dxa" w:w="90"/>
              <w:right w:type="dxa" w:w="130"/>
            </w:tcMar>
          </w:tcPr>
          <w:p>
            <w:pPr>
              <w:jc w:val="left"/>
            </w:pPr>
            <w:r>
              <w:rPr>
                <w:b w:val="false"/>
                <w:bCs w:val="false"/>
                <w:sz w:val="19"/>
                <w:szCs w:val="19"/>
              </w:rPr>
              <w:t xml:space="preserve">BCE — courbe zéro-coupon</w:t>
            </w:r>
          </w:p>
        </w:tc>
        <w:tc>
          <w:tcPr>
            <w:tcW w:type="dxa" w:w="3400"/>
            <w:shd w:fill="FFFFFF" w:val="clear"/>
            <w:tcMar>
              <w:top w:type="dxa" w:w="90"/>
              <w:left w:type="dxa" w:w="130"/>
              <w:bottom w:type="dxa" w:w="90"/>
              <w:right w:type="dxa" w:w="130"/>
            </w:tcMar>
          </w:tcPr>
          <w:p>
            <w:pPr>
              <w:jc w:val="right"/>
            </w:pPr>
            <w:r>
              <w:rPr>
                <w:b w:val="false"/>
                <w:bCs w:val="false"/>
                <w:sz w:val="19"/>
                <w:szCs w:val="19"/>
              </w:rPr>
              <w:t xml:space="preserve">Taux d'État zone euro et AAA, toutes échéances</w:t>
            </w:r>
          </w:p>
        </w:tc>
        <w:tc>
          <w:tcPr>
            <w:tcW w:type="dxa" w:w="3660"/>
            <w:shd w:fill="FFFFFF" w:val="clear"/>
            <w:tcMar>
              <w:top w:type="dxa" w:w="90"/>
              <w:left w:type="dxa" w:w="130"/>
              <w:bottom w:type="dxa" w:w="90"/>
              <w:right w:type="dxa" w:w="130"/>
            </w:tcMar>
          </w:tcPr>
          <w:p>
            <w:pPr>
              <w:jc w:val="right"/>
            </w:pPr>
            <w:r>
              <w:rPr>
                <w:b w:val="false"/>
                <w:bCs w:val="false"/>
                <w:sz w:val="19"/>
                <w:szCs w:val="19"/>
              </w:rPr>
              <w:t xml:space="preserve">Modèle de Svensson, pas des cotations réelles</w:t>
            </w:r>
          </w:p>
        </w:tc>
      </w:tr>
      <w:tr>
        <w:tc>
          <w:tcPr>
            <w:tcW w:type="dxa" w:w="2300"/>
            <w:shd w:fill="F7F8FA" w:val="clear"/>
            <w:tcMar>
              <w:top w:type="dxa" w:w="90"/>
              <w:left w:type="dxa" w:w="130"/>
              <w:bottom w:type="dxa" w:w="90"/>
              <w:right w:type="dxa" w:w="130"/>
            </w:tcMar>
          </w:tcPr>
          <w:p>
            <w:pPr>
              <w:jc w:val="left"/>
            </w:pPr>
            <w:r>
              <w:rPr>
                <w:b w:val="false"/>
                <w:bCs w:val="false"/>
                <w:sz w:val="19"/>
                <w:szCs w:val="19"/>
              </w:rPr>
              <w:t xml:space="preserve">FRED (St. Louis Fed)</w:t>
            </w:r>
          </w:p>
        </w:tc>
        <w:tc>
          <w:tcPr>
            <w:tcW w:type="dxa" w:w="3400"/>
            <w:shd w:fill="F7F8FA" w:val="clear"/>
            <w:tcMar>
              <w:top w:type="dxa" w:w="90"/>
              <w:left w:type="dxa" w:w="130"/>
              <w:bottom w:type="dxa" w:w="90"/>
              <w:right w:type="dxa" w:w="130"/>
            </w:tcMar>
          </w:tcPr>
          <w:p>
            <w:pPr>
              <w:jc w:val="right"/>
            </w:pPr>
            <w:r>
              <w:rPr>
                <w:b w:val="false"/>
                <w:bCs w:val="false"/>
                <w:sz w:val="19"/>
                <w:szCs w:val="19"/>
              </w:rPr>
              <w:t xml:space="preserve">Activité, courbes, primes de crédit, inflation</w:t>
            </w:r>
          </w:p>
        </w:tc>
        <w:tc>
          <w:tcPr>
            <w:tcW w:type="dxa" w:w="3660"/>
            <w:shd w:fill="F7F8FA" w:val="clear"/>
            <w:tcMar>
              <w:top w:type="dxa" w:w="90"/>
              <w:left w:type="dxa" w:w="130"/>
              <w:bottom w:type="dxa" w:w="90"/>
              <w:right w:type="dxa" w:w="130"/>
            </w:tcMar>
          </w:tcPr>
          <w:p>
            <w:pPr>
              <w:jc w:val="right"/>
            </w:pPr>
            <w:r>
              <w:rPr>
                <w:b w:val="false"/>
                <w:bCs w:val="false"/>
                <w:sz w:val="19"/>
                <w:szCs w:val="19"/>
              </w:rPr>
              <w:t xml:space="preserve">Clé gratuite ; séries parfois révisées</w:t>
            </w:r>
          </w:p>
        </w:tc>
      </w:tr>
      <w:tr>
        <w:tc>
          <w:tcPr>
            <w:tcW w:type="dxa" w:w="2300"/>
            <w:shd w:fill="FFFFFF" w:val="clear"/>
            <w:tcMar>
              <w:top w:type="dxa" w:w="90"/>
              <w:left w:type="dxa" w:w="130"/>
              <w:bottom w:type="dxa" w:w="90"/>
              <w:right w:type="dxa" w:w="130"/>
            </w:tcMar>
          </w:tcPr>
          <w:p>
            <w:pPr>
              <w:jc w:val="left"/>
            </w:pPr>
            <w:r>
              <w:rPr>
                <w:b w:val="false"/>
                <w:bCs w:val="false"/>
                <w:sz w:val="19"/>
                <w:szCs w:val="19"/>
              </w:rPr>
              <w:t xml:space="preserve">Yahoo Finance</w:t>
            </w:r>
          </w:p>
        </w:tc>
        <w:tc>
          <w:tcPr>
            <w:tcW w:type="dxa" w:w="3400"/>
            <w:shd w:fill="FFFFFF" w:val="clear"/>
            <w:tcMar>
              <w:top w:type="dxa" w:w="90"/>
              <w:left w:type="dxa" w:w="130"/>
              <w:bottom w:type="dxa" w:w="90"/>
              <w:right w:type="dxa" w:w="130"/>
            </w:tcMar>
          </w:tcPr>
          <w:p>
            <w:pPr>
              <w:jc w:val="right"/>
            </w:pPr>
            <w:r>
              <w:rPr>
                <w:b w:val="false"/>
                <w:bCs w:val="false"/>
                <w:sz w:val="19"/>
                <w:szCs w:val="19"/>
              </w:rPr>
              <w:t xml:space="preserve">Prix, fondamentaux, changes</w:t>
            </w:r>
          </w:p>
        </w:tc>
        <w:tc>
          <w:tcPr>
            <w:tcW w:type="dxa" w:w="3660"/>
            <w:shd w:fill="FFFFFF" w:val="clear"/>
            <w:tcMar>
              <w:top w:type="dxa" w:w="90"/>
              <w:left w:type="dxa" w:w="130"/>
              <w:bottom w:type="dxa" w:w="90"/>
              <w:right w:type="dxa" w:w="130"/>
            </w:tcMar>
          </w:tcPr>
          <w:p>
            <w:pPr>
              <w:jc w:val="right"/>
            </w:pPr>
            <w:r>
              <w:rPr>
                <w:b w:val="false"/>
                <w:bCs w:val="false"/>
                <w:sz w:val="19"/>
                <w:szCs w:val="19"/>
              </w:rPr>
              <w:t xml:space="preserve">Données fondamentales inégales ; pence/livres</w:t>
            </w:r>
          </w:p>
        </w:tc>
      </w:tr>
      <w:tr>
        <w:tc>
          <w:tcPr>
            <w:tcW w:type="dxa" w:w="2300"/>
            <w:shd w:fill="F7F8FA" w:val="clear"/>
            <w:tcMar>
              <w:top w:type="dxa" w:w="90"/>
              <w:left w:type="dxa" w:w="130"/>
              <w:bottom w:type="dxa" w:w="90"/>
              <w:right w:type="dxa" w:w="130"/>
            </w:tcMar>
          </w:tcPr>
          <w:p>
            <w:pPr>
              <w:jc w:val="left"/>
            </w:pPr>
            <w:r>
              <w:rPr>
                <w:b w:val="false"/>
                <w:bCs w:val="false"/>
                <w:sz w:val="19"/>
                <w:szCs w:val="19"/>
              </w:rPr>
              <w:t xml:space="preserve">Fiches iShares / justETF</w:t>
            </w:r>
          </w:p>
        </w:tc>
        <w:tc>
          <w:tcPr>
            <w:tcW w:type="dxa" w:w="3400"/>
            <w:shd w:fill="F7F8FA" w:val="clear"/>
            <w:tcMar>
              <w:top w:type="dxa" w:w="90"/>
              <w:left w:type="dxa" w:w="130"/>
              <w:bottom w:type="dxa" w:w="90"/>
              <w:right w:type="dxa" w:w="130"/>
            </w:tcMar>
          </w:tcPr>
          <w:p>
            <w:pPr>
              <w:jc w:val="right"/>
            </w:pPr>
            <w:r>
              <w:rPr>
                <w:b w:val="false"/>
                <w:bCs w:val="false"/>
                <w:sz w:val="19"/>
                <w:szCs w:val="19"/>
              </w:rPr>
              <w:t xml:space="preserve">PER, dividendes, frais, taille des fonds</w:t>
            </w:r>
          </w:p>
        </w:tc>
        <w:tc>
          <w:tcPr>
            <w:tcW w:type="dxa" w:w="3660"/>
            <w:shd w:fill="F7F8FA" w:val="clear"/>
            <w:tcMar>
              <w:top w:type="dxa" w:w="90"/>
              <w:left w:type="dxa" w:w="130"/>
              <w:bottom w:type="dxa" w:w="90"/>
              <w:right w:type="dxa" w:w="130"/>
            </w:tcMar>
          </w:tcPr>
          <w:p>
            <w:pPr>
              <w:jc w:val="right"/>
            </w:pPr>
            <w:r>
              <w:rPr>
                <w:b w:val="false"/>
                <w:bCs w:val="false"/>
                <w:sz w:val="19"/>
                <w:szCs w:val="19"/>
              </w:rPr>
              <w:t xml:space="preserve">Photo datée, pas une série</w:t>
            </w:r>
          </w:p>
        </w:tc>
      </w:tr>
      <w:tr>
        <w:tc>
          <w:tcPr>
            <w:tcW w:type="dxa" w:w="2300"/>
            <w:shd w:fill="FFFFFF" w:val="clear"/>
            <w:tcMar>
              <w:top w:type="dxa" w:w="90"/>
              <w:left w:type="dxa" w:w="130"/>
              <w:bottom w:type="dxa" w:w="90"/>
              <w:right w:type="dxa" w:w="130"/>
            </w:tcMar>
          </w:tcPr>
          <w:p>
            <w:pPr>
              <w:jc w:val="left"/>
            </w:pPr>
            <w:r>
              <w:rPr>
                <w:b w:val="false"/>
                <w:bCs w:val="false"/>
                <w:sz w:val="19"/>
                <w:szCs w:val="19"/>
              </w:rPr>
              <w:t xml:space="preserve">Moody's (via FRED)</w:t>
            </w:r>
          </w:p>
        </w:tc>
        <w:tc>
          <w:tcPr>
            <w:tcW w:type="dxa" w:w="3400"/>
            <w:shd w:fill="FFFFFF" w:val="clear"/>
            <w:tcMar>
              <w:top w:type="dxa" w:w="90"/>
              <w:left w:type="dxa" w:w="130"/>
              <w:bottom w:type="dxa" w:w="90"/>
              <w:right w:type="dxa" w:w="130"/>
            </w:tcMar>
          </w:tcPr>
          <w:p>
            <w:pPr>
              <w:jc w:val="right"/>
            </w:pPr>
            <w:r>
              <w:rPr>
                <w:b w:val="false"/>
                <w:bCs w:val="false"/>
                <w:sz w:val="19"/>
                <w:szCs w:val="19"/>
              </w:rPr>
              <w:t xml:space="preserve">Pertes sur défauts, primes Baa depuis 1986</w:t>
            </w:r>
          </w:p>
        </w:tc>
        <w:tc>
          <w:tcPr>
            <w:tcW w:type="dxa" w:w="3660"/>
            <w:shd w:fill="FFFFFF" w:val="clear"/>
            <w:tcMar>
              <w:top w:type="dxa" w:w="90"/>
              <w:left w:type="dxa" w:w="130"/>
              <w:bottom w:type="dxa" w:w="90"/>
              <w:right w:type="dxa" w:w="130"/>
            </w:tcMar>
          </w:tcPr>
          <w:p>
            <w:pPr>
              <w:jc w:val="right"/>
            </w:pPr>
            <w:r>
              <w:rPr>
                <w:b w:val="false"/>
                <w:bCs w:val="false"/>
                <w:sz w:val="19"/>
                <w:szCs w:val="19"/>
              </w:rPr>
              <w:t xml:space="preserve">Marché américain, transposé à l'euro</w:t>
            </w:r>
          </w:p>
        </w:tc>
      </w:tr>
      <w:tr>
        <w:tc>
          <w:tcPr>
            <w:tcW w:type="dxa" w:w="2300"/>
            <w:shd w:fill="F7F8FA" w:val="clear"/>
            <w:tcMar>
              <w:top w:type="dxa" w:w="90"/>
              <w:left w:type="dxa" w:w="130"/>
              <w:bottom w:type="dxa" w:w="90"/>
              <w:right w:type="dxa" w:w="130"/>
            </w:tcMar>
          </w:tcPr>
          <w:p>
            <w:pPr>
              <w:jc w:val="left"/>
            </w:pPr>
            <w:r>
              <w:rPr>
                <w:b w:val="false"/>
                <w:bCs w:val="false"/>
                <w:sz w:val="19"/>
                <w:szCs w:val="19"/>
              </w:rPr>
              <w:t xml:space="preserve">Shiller</w:t>
            </w:r>
          </w:p>
        </w:tc>
        <w:tc>
          <w:tcPr>
            <w:tcW w:type="dxa" w:w="3400"/>
            <w:shd w:fill="F7F8FA" w:val="clear"/>
            <w:tcMar>
              <w:top w:type="dxa" w:w="90"/>
              <w:left w:type="dxa" w:w="130"/>
              <w:bottom w:type="dxa" w:w="90"/>
              <w:right w:type="dxa" w:w="130"/>
            </w:tcMar>
          </w:tcPr>
          <w:p>
            <w:pPr>
              <w:jc w:val="right"/>
            </w:pPr>
            <w:r>
              <w:rPr>
                <w:b w:val="false"/>
                <w:bCs w:val="false"/>
                <w:sz w:val="19"/>
                <w:szCs w:val="19"/>
              </w:rPr>
              <w:t xml:space="preserve">Croissance réelle des bénéfices depuis 1900</w:t>
            </w:r>
          </w:p>
        </w:tc>
        <w:tc>
          <w:tcPr>
            <w:tcW w:type="dxa" w:w="3660"/>
            <w:shd w:fill="F7F8FA" w:val="clear"/>
            <w:tcMar>
              <w:top w:type="dxa" w:w="90"/>
              <w:left w:type="dxa" w:w="130"/>
              <w:bottom w:type="dxa" w:w="90"/>
              <w:right w:type="dxa" w:w="130"/>
            </w:tcMar>
          </w:tcPr>
          <w:p>
            <w:pPr>
              <w:jc w:val="right"/>
            </w:pPr>
            <w:r>
              <w:rPr>
                <w:b w:val="false"/>
                <w:bCs w:val="false"/>
                <w:sz w:val="19"/>
                <w:szCs w:val="19"/>
              </w:rPr>
              <w:t xml:space="preserve">S&amp;P 500 uniquement, appliqué à toutes zones</w:t>
            </w:r>
          </w:p>
        </w:tc>
      </w:tr>
      <w:tr>
        <w:tc>
          <w:tcPr>
            <w:tcW w:type="dxa" w:w="2300"/>
            <w:shd w:fill="FFFFFF" w:val="clear"/>
            <w:tcMar>
              <w:top w:type="dxa" w:w="90"/>
              <w:left w:type="dxa" w:w="130"/>
              <w:bottom w:type="dxa" w:w="90"/>
              <w:right w:type="dxa" w:w="130"/>
            </w:tcMar>
          </w:tcPr>
          <w:p>
            <w:pPr>
              <w:jc w:val="left"/>
            </w:pPr>
            <w:r>
              <w:rPr>
                <w:b w:val="false"/>
                <w:bCs w:val="false"/>
                <w:sz w:val="19"/>
                <w:szCs w:val="19"/>
              </w:rPr>
              <w:t xml:space="preserve">J.P. Morgan LTCMA 2026</w:t>
            </w:r>
          </w:p>
        </w:tc>
        <w:tc>
          <w:tcPr>
            <w:tcW w:type="dxa" w:w="3400"/>
            <w:shd w:fill="FFFFFF" w:val="clear"/>
            <w:tcMar>
              <w:top w:type="dxa" w:w="90"/>
              <w:left w:type="dxa" w:w="130"/>
              <w:bottom w:type="dxa" w:w="90"/>
              <w:right w:type="dxa" w:w="130"/>
            </w:tcMar>
          </w:tcPr>
          <w:p>
            <w:pPr>
              <w:jc w:val="right"/>
            </w:pPr>
            <w:r>
              <w:rPr>
                <w:b w:val="false"/>
                <w:bCs w:val="false"/>
                <w:sz w:val="19"/>
                <w:szCs w:val="19"/>
              </w:rPr>
              <w:t xml:space="preserve">Contrôle externe des rendements espérés</w:t>
            </w:r>
          </w:p>
        </w:tc>
        <w:tc>
          <w:tcPr>
            <w:tcW w:type="dxa" w:w="3660"/>
            <w:shd w:fill="FFFFFF" w:val="clear"/>
            <w:tcMar>
              <w:top w:type="dxa" w:w="90"/>
              <w:left w:type="dxa" w:w="130"/>
              <w:bottom w:type="dxa" w:w="90"/>
              <w:right w:type="dxa" w:w="130"/>
            </w:tcMar>
          </w:tcPr>
          <w:p>
            <w:pPr>
              <w:jc w:val="right"/>
            </w:pPr>
            <w:r>
              <w:rPr>
                <w:b w:val="false"/>
                <w:bCs w:val="false"/>
                <w:sz w:val="19"/>
                <w:szCs w:val="19"/>
              </w:rPr>
              <w:t xml:space="preserve">Inflation supposée 2 %, à réaligner</w:t>
            </w:r>
          </w:p>
        </w:tc>
      </w:tr>
    </w:tbl>
    <w:p>
      <w:pPr>
        <w:spacing w:after="160"/>
      </w:pPr>
    </w:p>
    <w:p>
      <w:pPr>
        <w:pStyle w:val="Heading2"/>
        <w:spacing w:after="120" w:before="280"/>
      </w:pPr>
      <w:r>
        <w:t xml:space="preserve">7.1 Les pièges de données qui ont été rencontrés et corrigés</w:t>
      </w:r>
    </w:p>
    <w:p>
      <w:pPr>
        <w:spacing w:after="120" w:line="276"/>
        <w:jc w:val="both"/>
      </w:pPr>
      <w:r>
        <w:rPr>
          <w:b w:val="false"/>
          <w:bCs w:val="false"/>
        </w:rPr>
        <w:t xml:space="preserve">Ils sont listés parce qu'ils produisent des chiffres faux </w:t>
      </w:r>
      <w:r>
        <w:rPr>
          <w:b/>
          <w:bCs/>
        </w:rPr>
        <w:t xml:space="preserve">invisibles</w:t>
      </w:r>
      <w:r>
        <w:rPr>
          <w:b w:val="false"/>
          <w:bCs w:val="false"/>
        </w:rPr>
        <w:t xml:space="preserve"> : rien ne signale l'erreur, le résultat a l'air normal.</w:t>
      </w:r>
    </w:p>
    <w:p>
      <w:pPr>
        <w:pStyle w:val="ListParagraph"/>
        <w:numPr>
          <w:ilvl w:val="0"/>
          <w:numId w:val="2"/>
        </w:numPr>
        <w:spacing w:after="80" w:line="276"/>
      </w:pPr>
      <w:r>
        <w:rPr>
          <w:b w:val="false"/>
          <w:bCs w:val="false"/>
        </w:rPr>
        <w:t xml:space="preserve"/>
      </w:r>
      <w:r>
        <w:rPr>
          <w:b/>
          <w:bCs/>
        </w:rPr>
        <w:t xml:space="preserve">Devises de cotation.</w:t>
      </w:r>
      <w:r>
        <w:rPr>
          <w:b w:val="false"/>
          <w:bCs w:val="false"/>
        </w:rPr>
        <w:t xml:space="preserve"> Un même ETF coté à Francfort et à Londres donne deux performances différentes. Toutes les séries sont ramenées en euros, dividendes réinvestis.</w:t>
      </w:r>
    </w:p>
    <w:p>
      <w:pPr>
        <w:pStyle w:val="ListParagraph"/>
        <w:numPr>
          <w:ilvl w:val="0"/>
          <w:numId w:val="2"/>
        </w:numPr>
        <w:spacing w:after="80" w:line="276"/>
      </w:pPr>
      <w:r>
        <w:rPr>
          <w:b w:val="false"/>
          <w:bCs w:val="false"/>
        </w:rPr>
        <w:t xml:space="preserve"/>
      </w:r>
      <w:r>
        <w:rPr>
          <w:b/>
          <w:bCs/>
        </w:rPr>
        <w:t xml:space="preserve">Libellés trompeurs.</w:t>
      </w:r>
      <w:r>
        <w:rPr>
          <w:b w:val="false"/>
          <w:bCs w:val="false"/>
        </w:rPr>
        <w:t xml:space="preserve"> L'univers hérité contenait neuf fonds dont le nom ne correspondait pas au produit. Les séries de prix étaient les bonnes — c'est le nom qui était faux, ce qu'aucun contrôle de volatilité ne pouvait détecter.</w:t>
      </w:r>
    </w:p>
    <w:p>
      <w:pPr>
        <w:pStyle w:val="ListParagraph"/>
        <w:numPr>
          <w:ilvl w:val="0"/>
          <w:numId w:val="2"/>
        </w:numPr>
        <w:spacing w:after="80" w:line="276"/>
      </w:pPr>
      <w:r>
        <w:rPr>
          <w:b w:val="false"/>
          <w:bCs w:val="false"/>
        </w:rPr>
        <w:t xml:space="preserve"/>
      </w:r>
      <w:r>
        <w:rPr>
          <w:b/>
          <w:bCs/>
        </w:rPr>
        <w:t xml:space="preserve">Fenêtres non comparables.</w:t>
      </w:r>
      <w:r>
        <w:rPr>
          <w:b w:val="false"/>
          <w:bCs w:val="false"/>
        </w:rPr>
        <w:t xml:space="preserve"> Comparer deux actifs sur des périodes différentes produit un classement faux. Toutes les comparaisons de ce dossier partent d'octobre 2006, date de la plus courte série disponible.</w:t>
      </w:r>
    </w:p>
    <w:p>
      <w:pPr>
        <w:pStyle w:val="ListParagraph"/>
        <w:numPr>
          <w:ilvl w:val="0"/>
          <w:numId w:val="2"/>
        </w:numPr>
        <w:spacing w:after="80" w:line="276"/>
      </w:pPr>
      <w:r>
        <w:rPr>
          <w:b w:val="false"/>
          <w:bCs w:val="false"/>
        </w:rPr>
        <w:t xml:space="preserve"/>
      </w:r>
      <w:r>
        <w:rPr>
          <w:b/>
          <w:bCs/>
        </w:rPr>
        <w:t xml:space="preserve">Remplaçants avant 2018.</w:t>
      </w:r>
      <w:r>
        <w:rPr>
          <w:b w:val="false"/>
          <w:bCs w:val="false"/>
        </w:rPr>
        <w:t xml:space="preserve"> Plusieurs supports n'existaient pas sur toute la période et sont représentés par un indice proche. C'est la raison de la marge de prudence à 14 %.</w:t>
      </w:r>
    </w:p>
    <w:p>
      <w:r>
        <w:br w:type="page"/>
      </w:r>
    </w:p>
    <w:p>
      <w:pPr>
        <w:pStyle w:val="Heading1"/>
        <w:spacing w:after="160" w:before="360"/>
      </w:pPr>
      <w:r>
        <w:t xml:space="preserve">8. Les questions de fond, et comment y répondre</w:t>
      </w:r>
    </w:p>
    <w:p>
      <w:pPr>
        <w:spacing w:after="120" w:line="276"/>
        <w:jc w:val="both"/>
      </w:pPr>
      <w:r>
        <w:rPr>
          <w:b w:val="false"/>
          <w:bCs w:val="false"/>
        </w:rPr>
        <w:t xml:space="preserve">Chaque question ci-dessous a été identifiée comme une attaque plausible. La réponse donnée est celle que les chiffres autorisent, pas celle qui arrange.</w:t>
      </w:r>
    </w:p>
    <w:p>
      <w:pPr>
        <w:spacing w:after="80" w:before="240"/>
      </w:pPr>
      <w:r>
        <w:rPr>
          <w:b/>
          <w:bCs/>
          <w:color w:val="14304F"/>
          <w:sz w:val="21"/>
          <w:szCs w:val="21"/>
        </w:rPr>
        <w:t xml:space="preserve">« Vous mettez 32 % sur le Japon parce que le yen a monté en 2008. C'est du surapprentissage. »</w:t>
      </w:r>
    </w:p>
    <w:p>
      <w:pPr>
        <w:spacing w:after="120" w:line="276"/>
        <w:jc w:val="both"/>
      </w:pPr>
      <w:r>
        <w:rPr>
          <w:b w:val="false"/>
          <w:bCs w:val="false"/>
        </w:rPr>
        <w:t xml:space="preserve"/>
      </w:r>
      <w:r>
        <w:rPr>
          <w:b/>
          <w:bCs/>
        </w:rPr>
        <w:t xml:space="preserve">C'est exact, et c'est pour cela qu'on ne l'a pas retenu.</w:t>
      </w:r>
      <w:r>
        <w:rPr>
          <w:b w:val="false"/>
          <w:bCs w:val="false"/>
        </w:rPr>
        <w:t xml:space="preserve"> Le calcul libre choisit le Japon pour deux raisons : c'est la classe au rendement espéré le plus élevé (9,44 %, à cause d'un PER de 19,1 et d'un dividende de 3,66 %), et c'est l'action qui a le mieux résisté en 2008 — −49,1 % en euros contre −59,0 % pour l'Europe. La seconde raison ne repose que sur une crise : c'est fragile. La clé actions 40/35/10/15 a donc été imposée précisément pour retirer ce choix au calcul. Elle coûte 0,68 point de rendement annuel, le poste le plus cher du dossier, et on l'a payé. </w:t>
      </w:r>
      <w:r>
        <w:rPr>
          <w:b/>
          <w:bCs/>
        </w:rPr>
        <w:t xml:space="preserve">Le portefeuille retenu ne contient que 3 % de Japon.</w:t>
      </w:r>
      <w:r>
        <w:rPr>
          <w:b w:val="false"/>
          <w:bCs w:val="false"/>
        </w:rPr>
        <w:t xml:space="preserve"/>
      </w:r>
    </w:p>
    <w:p>
      <w:pPr>
        <w:spacing w:after="80" w:before="240"/>
      </w:pPr>
      <w:r>
        <w:rPr>
          <w:b/>
          <w:bCs/>
          <w:color w:val="14304F"/>
          <w:sz w:val="21"/>
          <w:szCs w:val="21"/>
        </w:rPr>
        <w:t xml:space="preserve">« Le Japon a été un mauvais investissement pendant vingt ans. »</w:t>
      </w:r>
    </w:p>
    <w:p>
      <w:pPr>
        <w:spacing w:after="120" w:line="276"/>
        <w:jc w:val="both"/>
      </w:pPr>
      <w:r>
        <w:rPr>
          <w:b w:val="false"/>
          <w:bCs w:val="false"/>
        </w:rPr>
        <w:t xml:space="preserve"/>
      </w:r>
      <w:r>
        <w:rPr>
          <w:b/>
          <w:bCs/>
        </w:rPr>
        <w:t xml:space="preserve">Sur vingt ans oui, sur cinq ans non, et il faut donner les deux chiffres.</w:t>
      </w:r>
      <w:r>
        <w:rPr>
          <w:b w:val="false"/>
          <w:bCs w:val="false"/>
        </w:rPr>
        <w:t xml:space="preserve"> En euros, dividendes réinvestis : 3,95 % par an sur vingt ans — c'est la mauvaise réputation, et elle est méritée. Mais 6,40 % par an sur dix ans, 9,02 % sur cinq ans et 17,35 % sur trois ans. Sur les cinq dernières années le Japon fait mieux que l'Europe (8,71 %) et que les émergents (3,72 %), moins bien que les États-Unis (12,54 %). Affirmer qu'il s'est effondré récemment serait factuellement faux.</w:t>
      </w:r>
    </w:p>
    <w:p>
      <w:pPr>
        <w:spacing w:after="80" w:before="240"/>
      </w:pPr>
      <w:r>
        <w:rPr>
          <w:b/>
          <w:bCs/>
          <w:color w:val="14304F"/>
          <w:sz w:val="21"/>
          <w:szCs w:val="21"/>
        </w:rPr>
        <w:t xml:space="preserve">« Pourquoi pas une frontière efficiente ? »</w:t>
      </w:r>
    </w:p>
    <w:p>
      <w:pPr>
        <w:spacing w:after="120" w:line="276"/>
        <w:jc w:val="both"/>
      </w:pPr>
      <w:r>
        <w:rPr>
          <w:b w:val="false"/>
          <w:bCs w:val="false"/>
        </w:rPr>
        <w:t xml:space="preserve">Parce que la contrainte du client est une perte maximale depuis le plus haut, pas une volatilité. Une perte maximale dépend de l'ordre d'arrivée des rendements ; une matrice de covariance l'ignore. Optimiser la variance en espérant que la perte suive aurait été un raccourci non vérifié. Voir § 5.2.</w:t>
      </w:r>
    </w:p>
    <w:p>
      <w:pPr>
        <w:spacing w:after="80" w:before="240"/>
      </w:pPr>
      <w:r>
        <w:rPr>
          <w:b/>
          <w:bCs/>
          <w:color w:val="14304F"/>
          <w:sz w:val="21"/>
          <w:szCs w:val="21"/>
        </w:rPr>
        <w:t xml:space="preserve">« Votre 5,31 %, c'est avant ou après frais ? »</w:t>
      </w:r>
    </w:p>
    <w:p>
      <w:pPr>
        <w:spacing w:after="120" w:line="276"/>
        <w:jc w:val="both"/>
      </w:pPr>
      <w:r>
        <w:rPr>
          <w:b w:val="false"/>
          <w:bCs w:val="false"/>
        </w:rPr>
        <w:t xml:space="preserve"/>
      </w:r>
      <w:r>
        <w:rPr>
          <w:b/>
          <w:bCs/>
        </w:rPr>
        <w:t xml:space="preserve">Avant.</w:t>
      </w:r>
      <w:r>
        <w:rPr>
          <w:b w:val="false"/>
          <w:bCs w:val="false"/>
        </w:rPr>
        <w:t xml:space="preserve"> Les frais d'instruments représentent 47 k€ par an, soit 0,05 % du patrimoine, et ne sont pas déduits du rendement espéré. Le seuil de 4 %, lui, est un objectif </w:t>
      </w:r>
      <w:r>
        <w:rPr>
          <w:b/>
          <w:bCs/>
        </w:rPr>
        <w:t xml:space="preserve">net</w:t>
      </w:r>
      <w:r>
        <w:rPr>
          <w:b w:val="false"/>
          <w:bCs w:val="false"/>
        </w:rPr>
        <w:t xml:space="preserve">. La comparaison honnête ajoute donc au seuil les frais d'instruments, les frais de mandat, et la friction fiscale si on la réintègre — ce qui porte le seuil entre 4,05 % et 4,85 % selon le périmètre, et ramène la marge entre +0,5 et +1,26 point. </w:t>
      </w:r>
      <w:r>
        <w:rPr>
          <w:b/>
          <w:bCs/>
        </w:rPr>
        <w:t xml:space="preserve">C'est une faiblesse connue du dossier, non encore corrigée.</w:t>
      </w:r>
      <w:r>
        <w:rPr>
          <w:b w:val="false"/>
          <w:bCs w:val="false"/>
        </w:rPr>
        <w:t xml:space="preserve"/>
      </w:r>
    </w:p>
    <w:p>
      <w:pPr>
        <w:spacing w:after="80" w:before="240"/>
      </w:pPr>
      <w:r>
        <w:rPr>
          <w:b/>
          <w:bCs/>
          <w:color w:val="14304F"/>
          <w:sz w:val="21"/>
          <w:szCs w:val="21"/>
        </w:rPr>
        <w:t xml:space="preserve">« Vous validez sur les données qui ont servi à optimiser. »</w:t>
      </w:r>
    </w:p>
    <w:p>
      <w:pPr>
        <w:spacing w:after="120" w:line="276"/>
        <w:jc w:val="both"/>
      </w:pPr>
      <w:r>
        <w:rPr>
          <w:b w:val="false"/>
          <w:bCs w:val="false"/>
        </w:rPr>
        <w:t xml:space="preserve">Oui, et le dossier le dit de lui-même en tête de l'étape 5. La tenue de la limite de 14 % est acquise d'avance et ne prouve rien. Ce que le rejeu mesure, c'est ce que l'optimisation n'a pas regardé : la durée des baisses (32 mois en 2022) et la fréquence des mauvaises années (18 %). Les quatre règles de l'étape 4 existent précisément pour limiter le surapprentissage, et leur coût est chiffré ligne à ligne.</w:t>
      </w:r>
    </w:p>
    <w:p>
      <w:pPr>
        <w:spacing w:after="80" w:before="240"/>
      </w:pPr>
      <w:r>
        <w:rPr>
          <w:b/>
          <w:bCs/>
          <w:color w:val="14304F"/>
          <w:sz w:val="21"/>
          <w:szCs w:val="21"/>
        </w:rPr>
        <w:t xml:space="preserve">« Votre hypothèse d'inflation à 4 % est le double du consensus. »</w:t>
      </w:r>
    </w:p>
    <w:p>
      <w:pPr>
        <w:spacing w:after="120" w:line="276"/>
        <w:jc w:val="both"/>
      </w:pPr>
      <w:r>
        <w:rPr>
          <w:b w:val="false"/>
          <w:bCs w:val="false"/>
        </w:rPr>
        <w:t xml:space="preserve">Elle n'a pas été corrigée, volontairement : le portefeuille est construit pour tenir </w:t>
      </w:r>
      <w:r>
        <w:rPr>
          <w:b/>
          <w:bCs/>
        </w:rPr>
        <w:t xml:space="preserve">dans le scénario du client</w:t>
      </w:r>
      <w:r>
        <w:rPr>
          <w:b w:val="false"/>
          <w:bCs w:val="false"/>
        </w:rPr>
        <w:t xml:space="preserve">, pas dans le nôtre. Si l'inflation se révèle conforme au consensus à 2 %, le seuil à battre baisse d'autant et la marge s'élargit. Le point de méthode important est que seuil et rendements sont évalués </w:t>
      </w:r>
      <w:r>
        <w:rPr>
          <w:b/>
          <w:bCs/>
        </w:rPr>
        <w:t xml:space="preserve">dans le même régime d'inflation</w:t>
      </w:r>
      <w:r>
        <w:rPr>
          <w:b w:val="false"/>
          <w:bCs w:val="false"/>
        </w:rPr>
        <w:t xml:space="preserve"> — comparer un seuil bâti sur 4 % à des rendements bâtis sur 2 % ferait paraître le mandat bien plus difficile qu'il n'est.</w:t>
      </w:r>
    </w:p>
    <w:p>
      <w:pPr>
        <w:spacing w:after="80" w:before="240"/>
      </w:pPr>
      <w:r>
        <w:rPr>
          <w:b/>
          <w:bCs/>
          <w:color w:val="14304F"/>
          <w:sz w:val="21"/>
          <w:szCs w:val="21"/>
        </w:rPr>
        <w:t xml:space="preserve">« Le backtest fait 4,47 % pour un objectif de 4 %. C'est très juste. »</w:t>
      </w:r>
    </w:p>
    <w:p>
      <w:pPr>
        <w:spacing w:after="120" w:line="276"/>
        <w:jc w:val="both"/>
      </w:pPr>
      <w:r>
        <w:rPr>
          <w:b w:val="false"/>
          <w:bCs w:val="false"/>
        </w:rPr>
        <w:t xml:space="preserve"/>
      </w:r>
      <w:r>
        <w:rPr>
          <w:b/>
          <w:bCs/>
        </w:rPr>
        <w:t xml:space="preserve">La comparaison n'est pas légitime en l'état, et elle joue contre nous.</w:t>
      </w:r>
      <w:r>
        <w:rPr>
          <w:b w:val="false"/>
          <w:bCs w:val="false"/>
        </w:rPr>
        <w:t xml:space="preserve"> Le seuil de 4 % est bâti pour un monde à 4 % d'inflation ; la période 2006-2026 a connu une inflation d'environ 2 %. Jugé contre l'inflation </w:t>
      </w:r>
      <w:r>
        <w:rPr>
          <w:b/>
          <w:bCs/>
        </w:rPr>
        <w:t xml:space="preserve">réalisée</w:t>
      </w:r>
      <w:r>
        <w:rPr>
          <w:b w:val="false"/>
          <w:bCs w:val="false"/>
        </w:rPr>
        <w:t xml:space="preserve"> de la période, le 4,47 % représente environ +2,4 points de rendement réel, ce qui est un net succès et non une réussite de justesse. C'est exactement le piège de régime signalé au § 3.1.</w:t>
      </w:r>
    </w:p>
    <w:p>
      <w:pPr>
        <w:spacing w:after="80" w:before="240"/>
      </w:pPr>
      <w:r>
        <w:rPr>
          <w:b/>
          <w:bCs/>
          <w:color w:val="14304F"/>
          <w:sz w:val="21"/>
          <w:szCs w:val="21"/>
        </w:rPr>
        <w:t xml:space="preserve">« Pourquoi 30 titres en direct plutôt qu'un ETF européen ? »</w:t>
      </w:r>
    </w:p>
    <w:p>
      <w:pPr>
        <w:spacing w:after="120" w:line="276"/>
        <w:jc w:val="both"/>
      </w:pPr>
      <w:r>
        <w:rPr>
          <w:b w:val="false"/>
          <w:bCs w:val="false"/>
        </w:rPr>
        <w:t xml:space="preserve">Trois raisons. Les exclusions du client sont appliquées </w:t>
      </w:r>
      <w:r>
        <w:rPr>
          <w:b/>
          <w:bCs/>
        </w:rPr>
        <w:t xml:space="preserve">littéralement</w:t>
      </w:r>
      <w:r>
        <w:rPr>
          <w:b w:val="false"/>
          <w:bCs w:val="false"/>
        </w:rPr>
        <w:t xml:space="preserve">, ce qu'aucun ETF ne fait exactement — le fonds le plus proche n'exclut pas l'armement conventionnel. Le pilier Résistance permet de détenir plus d'actions pour la même limite de perte. Et il n'y a pas de frais de gestion. Le panier est effectivement moins agité que l'indice : 10,4 % de volatilité contre 12,8 %.</w:t>
      </w:r>
    </w:p>
    <w:p>
      <w:pPr>
        <w:spacing w:after="80" w:before="240"/>
      </w:pPr>
      <w:r>
        <w:rPr>
          <w:b/>
          <w:bCs/>
          <w:color w:val="14304F"/>
          <w:sz w:val="21"/>
          <w:szCs w:val="21"/>
        </w:rPr>
        <w:t xml:space="preserve">« Comment garantissez-vous les 15 % ? »</w:t>
      </w:r>
    </w:p>
    <w:p>
      <w:pPr>
        <w:spacing w:after="120" w:line="276"/>
        <w:jc w:val="both"/>
      </w:pPr>
      <w:r>
        <w:rPr>
          <w:b w:val="false"/>
          <w:bCs w:val="false"/>
        </w:rPr>
        <w:t xml:space="preserve"/>
      </w:r>
      <w:r>
        <w:rPr>
          <w:b/>
          <w:bCs/>
        </w:rPr>
        <w:t xml:space="preserve">On ne les garantit pas, et il ne faut pas le prétendre.</w:t>
      </w:r>
      <w:r>
        <w:rPr>
          <w:b w:val="false"/>
          <w:bCs w:val="false"/>
        </w:rPr>
        <w:t xml:space="preserve"> La limite tient sur le passé, sur quatre crises datées à l'avance. La prochaine crise peut être différente. Trois choses réduisent ce risque sans l'annuler : la mesure au pire cas plutôt qu'en probabilité, la marge d'un point (viser 14 %), et le refus de la concentration que le calcul libre proposait.</w:t>
      </w:r>
    </w:p>
    <w:p>
      <w:pPr>
        <w:spacing w:after="80" w:before="240"/>
      </w:pPr>
      <w:r>
        <w:rPr>
          <w:b/>
          <w:bCs/>
          <w:color w:val="14304F"/>
          <w:sz w:val="21"/>
          <w:szCs w:val="21"/>
        </w:rPr>
        <w:t xml:space="preserve">« Pourquoi pas de crypto, alors que le fils en veut ? »</w:t>
      </w:r>
    </w:p>
    <w:p>
      <w:pPr>
        <w:spacing w:after="120" w:line="276"/>
        <w:jc w:val="both"/>
      </w:pPr>
      <w:r>
        <w:rPr>
          <w:b w:val="false"/>
          <w:bCs w:val="false"/>
        </w:rPr>
        <w:t xml:space="preserve">Parce qu'elle ne rapporte rien d'estimable — aucun flux, donc aucune méthode d'actualisation — et qu'elle n'amortit rien : elle a perdu 72,9 % en 2020 et 73,8 % en 2022, en baissant </w:t>
      </w:r>
      <w:r>
        <w:rPr>
          <w:b/>
          <w:bCs/>
        </w:rPr>
        <w:t xml:space="preserve">avec</w:t>
      </w:r>
      <w:r>
        <w:rPr>
          <w:b w:val="false"/>
          <w:bCs w:val="false"/>
        </w:rPr>
        <w:t xml:space="preserve"> les actions. Elle n'a donc sa place ni dans le moteur de performance ni dans l'amortisseur. Elle reste mesurée dans le dossier pour pouvoir montrer pourquoi, ce qui est une réponse plus respectueuse qu'un refus de principe.</w:t>
      </w:r>
    </w:p>
    <w:p>
      <w:pPr>
        <w:spacing w:after="80" w:before="240"/>
      </w:pPr>
      <w:r>
        <w:rPr>
          <w:b/>
          <w:bCs/>
          <w:color w:val="14304F"/>
          <w:sz w:val="21"/>
          <w:szCs w:val="21"/>
        </w:rPr>
        <w:t xml:space="preserve">« Pourquoi l'Europe devant les États-Unis ? »</w:t>
      </w:r>
    </w:p>
    <w:p>
      <w:pPr>
        <w:spacing w:after="120" w:line="276"/>
        <w:jc w:val="both"/>
      </w:pPr>
      <w:r>
        <w:rPr>
          <w:b w:val="false"/>
          <w:bCs w:val="false"/>
        </w:rPr>
        <w:t xml:space="preserve">Uniquement par le prix payé : PER de 18,5 contre 30,0. L'action américaine est de meilleure qualité, mais elle se paie presque deux fois plus cher ; à ce prix elle rapportera probablement moins sur dix ans. La limite est assumée : une croissance de bénéfices identique pour toutes les zones pénalise les États-Unis, et avec une autre source de PER l'écart se réduit fortement. Il ne s'inverse pas.</w:t>
      </w:r>
    </w:p>
    <w:p>
      <w:r>
        <w:br w:type="page"/>
      </w:r>
    </w:p>
    <w:p>
      <w:pPr>
        <w:pStyle w:val="Heading1"/>
        <w:spacing w:after="160" w:before="360"/>
      </w:pPr>
      <w:r>
        <w:t xml:space="preserve">9. Les faiblesses du dossier, dites franchement</w:t>
      </w:r>
    </w:p>
    <w:p>
      <w:pPr>
        <w:spacing w:after="120" w:line="276"/>
        <w:jc w:val="both"/>
      </w:pPr>
      <w:r>
        <w:rPr>
          <w:b w:val="false"/>
          <w:bCs w:val="false"/>
        </w:rPr>
        <w:t xml:space="preserve">Un dossier qui ne connaît pas ses faiblesses les découvre en séance. Celles-ci sont connues, et trois d'entre elles ne sont pas corrigées à ce jour.</w:t>
      </w:r>
    </w:p>
    <w:p>
      <w:pPr>
        <w:pStyle w:val="Heading2"/>
        <w:spacing w:after="120" w:before="280"/>
      </w:pPr>
      <w:r>
        <w:t xml:space="preserve">9.1 Le surapprentissage, structurel</w:t>
      </w:r>
    </w:p>
    <w:p>
      <w:pPr>
        <w:spacing w:after="120" w:line="276"/>
        <w:jc w:val="both"/>
      </w:pPr>
      <w:r>
        <w:rPr>
          <w:b w:val="false"/>
          <w:bCs w:val="false"/>
        </w:rPr>
        <w:t xml:space="preserve">L'optimisation et la validation partagent les mêmes vingt années. Les quatre règles et la marge à 14 % le limitent, sans le supprimer. Une validation hors échantillon — optimiser sur 2006-2016 et vérifier sur 2016-2026 — serait la correction naturelle et n'a pas été faite.</w:t>
      </w:r>
    </w:p>
    <w:p>
      <w:pPr>
        <w:pStyle w:val="Heading2"/>
        <w:spacing w:after="120" w:before="280"/>
      </w:pPr>
      <w:r>
        <w:t xml:space="preserve">9.2 La qualité des séries avant 2018</w:t>
      </w:r>
    </w:p>
    <w:p>
      <w:pPr>
        <w:spacing w:after="120" w:line="276"/>
        <w:jc w:val="both"/>
      </w:pPr>
      <w:r>
        <w:rPr>
          <w:b w:val="false"/>
          <w:bCs w:val="false"/>
        </w:rPr>
        <w:t xml:space="preserve">Plusieurs supports sont représentés par des remplaçants sur la première moitié de la période, et certains flattent la réalité — le comportement des obligations indexées en 2008 notamment. Tout ce qui repose sur 2008 doit donc être présenté avec cette réserve.</w:t>
      </w:r>
    </w:p>
    <w:p>
      <w:pPr>
        <w:pStyle w:val="Heading2"/>
        <w:spacing w:after="120" w:before="280"/>
      </w:pPr>
      <w:r>
        <w:t xml:space="preserve">9.3 Le seuil net comparé à un rendement brut — non corrigé</w:t>
      </w:r>
    </w:p>
    <w:p>
      <w:pPr>
        <w:spacing w:after="120" w:line="276"/>
        <w:jc w:val="both"/>
      </w:pPr>
      <w:r>
        <w:rPr>
          <w:b w:val="false"/>
          <w:bCs w:val="false"/>
        </w:rPr>
        <w:t xml:space="preserve">L'objectif de 4 % est net de frais ; les rendements espérés sont bruts. Une version antérieure du dossier faisait le calcul complet — 4,00 % d'inflation + 0,55 % de frais + 0,30 % de friction fiscale = 4,85 % de rendement brut requis — et la version actuelle l'a perdu. </w:t>
      </w:r>
      <w:r>
        <w:rPr>
          <w:b/>
          <w:bCs/>
        </w:rPr>
        <w:t xml:space="preserve">La marge annoncée de +1,31 point est donc surévaluée</w:t>
      </w:r>
      <w:r>
        <w:rPr>
          <w:b w:val="false"/>
          <w:bCs w:val="false"/>
        </w:rPr>
        <w:t xml:space="preserve"> ; la marge réelle se situe entre +0,5 et +1,26 point selon le périmètre retenu.</w:t>
      </w:r>
    </w:p>
    <w:p>
      <w:pPr>
        <w:pStyle w:val="Heading2"/>
        <w:spacing w:after="120" w:before="280"/>
      </w:pPr>
      <w:r>
        <w:t xml:space="preserve">9.4 Le backtest jugé dans le mauvais régime d'inflation — non corrigé</w:t>
      </w:r>
    </w:p>
    <w:p>
      <w:pPr>
        <w:spacing w:after="120" w:line="276"/>
        <w:jc w:val="both"/>
      </w:pPr>
      <w:r>
        <w:rPr>
          <w:b w:val="false"/>
          <w:bCs w:val="false"/>
        </w:rPr>
        <w:t xml:space="preserve">Le rendement réalisé de 4,47 % est comparé à un seuil de 4 % bâti pour un monde à 4 % d'inflation, alors que la période a connu environ 2 %. Cette erreur joue </w:t>
      </w:r>
      <w:r>
        <w:rPr>
          <w:b/>
          <w:bCs/>
        </w:rPr>
        <w:t xml:space="preserve">en défaveur</w:t>
      </w:r>
      <w:r>
        <w:rPr>
          <w:b w:val="false"/>
          <w:bCs w:val="false"/>
        </w:rPr>
        <w:t xml:space="preserve"> du portefeuille : correctement jugé, le résultat est bien meilleur qu'il n'en a l'air. Le chiffrage exact demande la série d'inflation zone euro sur vingt ans, qui n'est pas encore dans le dossier.</w:t>
      </w:r>
    </w:p>
    <w:p>
      <w:pPr>
        <w:pStyle w:val="Heading2"/>
        <w:spacing w:after="120" w:before="280"/>
      </w:pPr>
      <w:r>
        <w:t xml:space="preserve">9.5 La fréquence des années sous l'objectif — absente du deck</w:t>
      </w:r>
    </w:p>
    <w:p>
      <w:pPr>
        <w:spacing w:after="120" w:line="276"/>
        <w:jc w:val="both"/>
      </w:pPr>
      <w:r>
        <w:rPr>
          <w:b w:val="false"/>
          <w:bCs w:val="false"/>
        </w:rPr>
        <w:t xml:space="preserve">40,8 % des années glissantes du portefeuille retenu sont sous 4 %. Le chiffre est calculé par l'application mais n'apparaît pas dans la présentation. Mieux vaut le donner soi-même que se le faire sortir.</w:t>
      </w:r>
    </w:p>
    <w:p>
      <w:pPr>
        <w:pStyle w:val="Heading2"/>
        <w:spacing w:after="120" w:before="280"/>
      </w:pPr>
      <w:r>
        <w:t xml:space="preserve">9.6 Ce qui a été volontairement laissé de côté</w:t>
      </w:r>
    </w:p>
    <w:p>
      <w:pPr>
        <w:pStyle w:val="ListParagraph"/>
        <w:numPr>
          <w:ilvl w:val="0"/>
          <w:numId w:val="2"/>
        </w:numPr>
        <w:spacing w:after="80" w:line="276"/>
      </w:pPr>
      <w:r>
        <w:rPr>
          <w:b w:val="false"/>
          <w:bCs w:val="false"/>
        </w:rPr>
        <w:t xml:space="preserve"/>
      </w:r>
      <w:r>
        <w:rPr>
          <w:b/>
          <w:bCs/>
        </w:rPr>
        <w:t xml:space="preserve">Fiscalité et transmission</w:t>
      </w:r>
      <w:r>
        <w:rPr>
          <w:b w:val="false"/>
          <w:bCs w:val="false"/>
        </w:rPr>
        <w:t xml:space="preserve"> : hors périmètre, assumé. Conséquence directe sur le § 9.3.</w:t>
      </w:r>
    </w:p>
    <w:p>
      <w:pPr>
        <w:pStyle w:val="ListParagraph"/>
        <w:numPr>
          <w:ilvl w:val="0"/>
          <w:numId w:val="2"/>
        </w:numPr>
        <w:spacing w:after="80" w:line="276"/>
      </w:pPr>
      <w:r>
        <w:rPr>
          <w:b w:val="false"/>
          <w:bCs w:val="false"/>
        </w:rPr>
        <w:t xml:space="preserve"/>
      </w:r>
      <w:r>
        <w:rPr>
          <w:b/>
          <w:bCs/>
        </w:rPr>
        <w:t xml:space="preserve">Immobilier et actifs non cotés</w:t>
      </w:r>
      <w:r>
        <w:rPr>
          <w:b w:val="false"/>
          <w:bCs w:val="false"/>
        </w:rPr>
        <w:t xml:space="preserve"> : absents de l'univers, alors qu'un patrimoine de 100 M€ en comporterait normalement. La liquidité exigée par la limite de perte mesurée en continu les rendait difficiles à intégrer.</w:t>
      </w:r>
    </w:p>
    <w:p>
      <w:pPr>
        <w:pStyle w:val="ListParagraph"/>
        <w:numPr>
          <w:ilvl w:val="0"/>
          <w:numId w:val="2"/>
        </w:numPr>
        <w:spacing w:after="80" w:line="276"/>
      </w:pPr>
      <w:r>
        <w:rPr>
          <w:b w:val="false"/>
          <w:bCs w:val="false"/>
        </w:rPr>
        <w:t xml:space="preserve"/>
      </w:r>
      <w:r>
        <w:rPr>
          <w:b/>
          <w:bCs/>
        </w:rPr>
        <w:t xml:space="preserve">Gestion dynamique</w:t>
      </w:r>
      <w:r>
        <w:rPr>
          <w:b w:val="false"/>
          <w:bCs w:val="false"/>
        </w:rPr>
        <w:t xml:space="preserve"> : l'allocation est stratégique et rééquilibrée mensuellement, sans vue tactique. Aucun pilier de sur-réaction au cycle n'a été testé.</w:t>
      </w:r>
    </w:p>
    <w:p>
      <w:pPr>
        <w:spacing w:after="160"/>
      </w:pPr>
    </w:p>
    <w:tbl>
      <w:tblPr>
        <w:tblW w:type="dxa" w:w="9360"/>
        <w:tblBorders>
          <w:top w:val="single" w:color="C9CFD6" w:sz="2"/>
          <w:left w:val="single" w:color="14304F" w:sz="12"/>
          <w:bottom w:val="single" w:color="C9CFD6" w:sz="2"/>
          <w:right w:val="single" w:color="C9CFD6" w:sz="2"/>
          <w:insideH w:val="none"/>
          <w:insideV w:val="none"/>
        </w:tblBorders>
      </w:tblPr>
      <w:tblGrid>
        <w:gridCol w:w="9360"/>
      </w:tblGrid>
      <w:tr>
        <w:tc>
          <w:tcPr>
            <w:tcW w:type="dxa" w:w="9360"/>
            <w:shd w:fill="F2F4F7" w:val="clear"/>
            <w:tcMar>
              <w:top w:type="dxa" w:w="160"/>
              <w:left w:type="dxa" w:w="200"/>
              <w:bottom w:type="dxa" w:w="160"/>
              <w:right w:type="dxa" w:w="200"/>
            </w:tcMar>
          </w:tcPr>
          <w:p>
            <w:pPr>
              <w:spacing w:after="80"/>
            </w:pPr>
            <w:r>
              <w:rPr>
                <w:b/>
                <w:bCs/>
                <w:color w:val="14304F"/>
              </w:rPr>
              <w:t xml:space="preserve">La phrase de clôture, si on vous demande ce qu'il faut retenir</w:t>
            </w:r>
          </w:p>
          <w:p>
            <w:pPr>
              <w:spacing w:after="120" w:line="276"/>
              <w:jc w:val="both"/>
            </w:pPr>
            <w:r>
              <w:rPr>
                <w:b w:val="false"/>
                <w:bCs w:val="false"/>
              </w:rPr>
              <w:t xml:space="preserve">Le mandat est tenu : 5,31 % de rendement espéré contre 4 % à battre, et jamais plus de 14 % de baisse dans les quatre crises des vingt dernières années. Mais la limite de perte tient </w:t>
            </w:r>
            <w:r>
              <w:rPr>
                <w:b/>
                <w:bCs/>
              </w:rPr>
              <w:t xml:space="preserve">sur le passé</w:t>
            </w:r>
            <w:r>
              <w:rPr>
                <w:b w:val="false"/>
                <w:bCs w:val="false"/>
              </w:rPr>
              <w:t xml:space="preserve">, les rendements espérés sont des </w:t>
            </w:r>
            <w:r>
              <w:rPr>
                <w:b/>
                <w:bCs/>
              </w:rPr>
              <w:t xml:space="preserve">moyennes sur dix ans et non des promesses</w:t>
            </w:r>
            <w:r>
              <w:rPr>
                <w:b w:val="false"/>
                <w:bCs w:val="false"/>
              </w:rPr>
              <w:t xml:space="preserve">, et une baisse peut durer plus de deux ans — elle a duré 32 mois en 2022.</w:t>
            </w:r>
          </w:p>
        </w:tc>
      </w:tr>
    </w:tbl>
    <w:sectPr>
      <w:pgSz w:w="11906" w:h="16838" w:orient="portrait"/>
      <w:pgMar w:top="1100" w:right="1040" w:bottom="1100" w:left="10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4304F"/>
      <w:sz w:val="32"/>
      <w:szCs w:val="32"/>
    </w:rPr>
  </w:style>
  <w:style w:type="paragraph" w:styleId="Heading2">
    <w:name w:val="Heading 2"/>
    <w:basedOn w:val="Normal"/>
    <w:next w:val="Normal"/>
    <w:qFormat/>
    <w:pPr>
      <w:spacing w:after="120" w:before="280"/>
    </w:pPr>
    <w:rPr>
      <w:rFonts w:ascii="Calibri" w:cs="Calibri" w:eastAsia="Calibri" w:hAnsi="Calibri"/>
      <w:b/>
      <w:bCs/>
      <w:color w:val="14304F"/>
      <w:sz w:val="25"/>
      <w:szCs w:val="25"/>
    </w:rPr>
  </w:style>
  <w:style w:type="paragraph" w:styleId="Heading3">
    <w:name w:val="Heading 3"/>
    <w:basedOn w:val="Normal"/>
    <w:next w:val="Normal"/>
    <w:qFormat/>
    <w:pPr>
      <w:spacing w:after="100" w:before="200"/>
    </w:pPr>
    <w:rPr>
      <w:rFonts w:ascii="Calibri" w:cs="Calibri" w:eastAsia="Calibri" w:hAnsi="Calibri"/>
      <w:b/>
      <w:bCs/>
      <w:color w:val="5A6069"/>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Mandat Lauren — dossier technique</dc:title>
  <dc:creator>Allan Guichard</dc:creator>
  <dc:description>Stratégie, modèles, choix et données du mandat Lauren</dc:description>
  <cp:lastModifiedBy>Un-named</cp:lastModifiedBy>
  <cp:revision>1</cp:revision>
  <dcterms:created xsi:type="dcterms:W3CDTF">2026-09-21T12:23:21.411Z</dcterms:created>
  <dcterms:modified xsi:type="dcterms:W3CDTF">2026-09-21T12:23:21.412Z</dcterms:modified>
</cp:coreProperties>
</file>

<file path=docProps/custom.xml><?xml version="1.0" encoding="utf-8"?>
<Properties xmlns="http://schemas.openxmlformats.org/officeDocument/2006/custom-properties" xmlns:vt="http://schemas.openxmlformats.org/officeDocument/2006/docPropsVTypes"/>
</file>