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</w:pPr>
      <w:r>
        <w:rPr>
          <w:b/>
          <w:bCs/>
          <w:color w:val="14304F"/>
          <w:sz w:val="56"/>
          <w:szCs w:val="56"/>
        </w:rPr>
        <w:t xml:space="preserve">Mandat Lauren</w:t>
      </w:r>
    </w:p>
    <w:p>
      <w:pPr>
        <w:spacing w:after="320"/>
      </w:pPr>
      <w:r>
        <w:rPr>
          <w:color w:val="5A6069"/>
          <w:sz w:val="32"/>
          <w:szCs w:val="32"/>
        </w:rPr>
        <w:t xml:space="preserve">Portfolio monitoring and review — 2026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Private wealth · €100m · preserve purchasing power under a 15% maximum-loss constraint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Period:</w:t>
      </w:r>
      <w:r>
        <w:rPr>
          <w:b w:val="false"/>
          <w:bCs w:val="false"/>
        </w:rPr>
        <w:t xml:space="preserve"> 1 January → 29 October 2026 (year-to-date). </w:t>
      </w:r>
      <w:r>
        <w:rPr>
          <w:b/>
          <w:bCs/>
        </w:rPr>
        <w:t xml:space="preserve">As of 29 October 2026.</w:t>
      </w:r>
      <w:r>
        <w:rPr>
          <w:b w:val="false"/>
          <w:bCs w:val="false"/>
        </w:rPr>
        <w:t xml:space="preserve"/>
      </w:r>
    </w:p>
    <w:p>
      <w:pPr>
        <w:spacing w:after="120"/>
      </w:pPr>
    </w:p>
    <w:tbl>
      <w:tblPr>
        <w:tblW w:type="dxa" w:w="9360"/>
        <w:tblBorders>
          <w:top w:val="single" w:color="C9CFD6" w:sz="2"/>
          <w:left w:val="single" w:color="14304F" w:sz="12"/>
          <w:bottom w:val="single" w:color="C9CFD6" w:sz="2"/>
          <w:right w:val="single" w:color="C9CFD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4304F"/>
              </w:rPr>
              <w:t xml:space="preserve">What this note measures</w:t>
            </w:r>
          </w:p>
          <w:p>
            <w:pPr>
              <w:spacing w:after="120" w:line="276"/>
              <w:jc w:val="both"/>
            </w:pPr>
            <w:r>
              <w:rPr>
                <w:b w:val="false"/>
                <w:bCs w:val="false"/>
              </w:rPr>
              <w:t xml:space="preserve">The portfolio was finalised on 24/09/2026. A “since 1 January” track is therefore </w:t>
            </w:r>
            <w:r>
              <w:rPr>
                <w:b/>
                <w:bCs/>
              </w:rPr>
              <w:t xml:space="preserve">not a realised gain</w:t>
            </w:r>
            <w:r>
              <w:rPr>
                <w:b w:val="false"/>
                <w:bCs w:val="false"/>
              </w:rPr>
              <w:t xml:space="preserve">, but an analysis of </w:t>
            </w:r>
            <w:r>
              <w:rPr>
                <w:b/>
                <w:bCs/>
              </w:rPr>
              <w:t xml:space="preserve">what the selection would have done over 2026</w:t>
            </w:r>
            <w:r>
              <w:rPr>
                <w:b w:val="false"/>
                <w:bCs w:val="false"/>
              </w:rPr>
              <w:t xml:space="preserve">: how it behaved, why, and what that says about the thesis.</w:t>
            </w:r>
          </w:p>
          <w:p>
            <w:pPr>
              <w:spacing w:after="120" w:line="276"/>
              <w:jc w:val="both"/>
            </w:pPr>
            <w:r>
              <w:rPr>
                <w:b w:val="false"/>
                <w:bCs w:val="false"/>
              </w:rPr>
              <w:t xml:space="preserve">Portfolio figures are computed in euros, dividends reinvested. The two directly-held bond sleeves are represented by maturity-matched ETFs. Market reference points (ECB, inflation, indices, yields) are facts as of October 2026. Full method at the end.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Over the first ten months of 2026, the portfolio rose </w:t>
      </w:r>
      <w:r>
        <w:rPr>
          <w:b/>
          <w:bCs/>
        </w:rPr>
        <w:t xml:space="preserve">+6.0%</w:t>
      </w:r>
      <w:r>
        <w:rPr>
          <w:b w:val="false"/>
          <w:bCs w:val="false"/>
        </w:rPr>
        <w:t xml:space="preserve"> in euros — </w:t>
      </w:r>
      <w:r>
        <w:rPr>
          <w:b/>
          <w:bCs/>
        </w:rPr>
        <w:t xml:space="preserve">+2.7 pts more</w:t>
      </w:r>
      <w:r>
        <w:rPr>
          <w:b w:val="false"/>
          <w:bCs w:val="false"/>
        </w:rPr>
        <w:t xml:space="preserve"> than the inflation objective (4%/yr, i.e. +3.3% pro-rated). Over the same period its worst drawdown from peak was held to </w:t>
      </w:r>
      <w:r>
        <w:rPr>
          <w:b/>
          <w:bCs/>
        </w:rPr>
        <w:t xml:space="preserve">−3.6%</w:t>
      </w:r>
      <w:r>
        <w:rPr>
          <w:b w:val="false"/>
          <w:bCs w:val="false"/>
        </w:rPr>
        <w:t xml:space="preserve">, 11.4 points away from the mandate's loss limit (−15%).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In short, the year made the portfolio work exactly as designed: </w:t>
      </w:r>
      <w:r>
        <w:rPr>
          <w:b/>
          <w:bCs/>
        </w:rPr>
        <w:t xml:space="preserve">an equity engine that is enough to beat inflation, and a bond base that holds the loss.</w:t>
      </w:r>
      <w:r>
        <w:rPr>
          <w:b w:val="false"/>
          <w:bCs w:val="false"/>
        </w:rPr>
        <w:t xml:space="preserve"> Equities (30% of the portfolio) added +6.86 pts; the bond sleeve (66%), built to protect rather than earn, cost −0.78 pts in a year of rising yields; gold (3%), −0.05 pts.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Yet 2026 was not an easy year: an energy shock brought inflation back, pushed the ECB to </w:t>
      </w:r>
      <w:r>
        <w:rPr>
          <w:b/>
          <w:bCs/>
        </w:rPr>
        <w:t xml:space="preserve">raise</w:t>
      </w:r>
      <w:r>
        <w:rPr>
          <w:b w:val="false"/>
          <w:bCs w:val="false"/>
        </w:rPr>
        <w:t xml:space="preserve"> rates and sent bonds lower. The portfolio came through because its equity selection was on the right side of that shock — energy, utilities, healthcare, banks — and because it has </w:t>
      </w:r>
      <w:r>
        <w:rPr>
          <w:b/>
          <w:bCs/>
        </w:rPr>
        <w:t xml:space="preserve">no exposure</w:t>
      </w:r>
      <w:r>
        <w:rPr>
          <w:b w:val="false"/>
          <w:bCs w:val="false"/>
        </w:rPr>
        <w:t xml:space="preserve"> to the two big European losers of the year, autos and luxury. The rest of this note traces that chain, from the macro backdrop down to each holding.</w:t>
      </w:r>
    </w:p>
    <w:p>
      <w:pPr>
        <w:pStyle w:val="Heading1"/>
      </w:pPr>
      <w:r>
        <w:t xml:space="preserve">2. The 2026 macro backdrop</w:t>
      </w:r>
    </w:p>
    <w:p>
      <w:pPr>
        <w:spacing w:after="40" w:before="80"/>
        <w:jc w:val="center"/>
      </w:pPr>
      <w:r>
        <w:drawing>
          <wp:inline distT="0" distB="0" distL="0" distR="0">
            <wp:extent cx="58483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069"/>
          <w:sz w:val="17"/>
          <w:szCs w:val="17"/>
        </w:rPr>
        <w:t xml:space="preserve">Brent crude and gold (in dollars), rebased to 100 on 1 January 2026. Oil is the year's through-line.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It all starts with energy.</w:t>
      </w:r>
      <w:r>
        <w:rPr>
          <w:b w:val="false"/>
          <w:bCs w:val="false"/>
        </w:rPr>
        <w:t xml:space="preserve"> A Middle East conflict from late February sent oil surging: Brent ends the period up </w:t>
      </w:r>
      <w:r>
        <w:rPr>
          <w:b/>
          <w:bCs/>
        </w:rPr>
        <w:t xml:space="preserve">81%</w:t>
      </w:r>
      <w:r>
        <w:rPr>
          <w:b w:val="false"/>
          <w:bCs w:val="false"/>
        </w:rPr>
        <w:t xml:space="preserve">, after a peak near 95% in late March. This is the dominant shock of 2026, and it feeds everything else.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Inflation came back.</w:t>
      </w:r>
      <w:r>
        <w:rPr>
          <w:b w:val="false"/>
          <w:bCs w:val="false"/>
        </w:rPr>
        <w:t xml:space="preserve"> Driven by energy, euro-area inflation rose to 3.3% in August (energy alone up more than 14% year-on-year). Purchasing power is the live issue again — precisely the risk the mandate was calibrated against.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ECB raised rates.</w:t>
      </w:r>
      <w:r>
        <w:rPr>
          <w:b w:val="false"/>
          <w:bCs w:val="false"/>
        </w:rPr>
        <w:t xml:space="preserve"> Against the easing cycle expected early in the year, the central bank held in Q1, then hiked in June and again in September, taking the deposit rate to 2.50%. 2026 is therefore a year of </w:t>
      </w:r>
      <w:r>
        <w:rPr>
          <w:b/>
          <w:bCs/>
        </w:rPr>
        <w:t xml:space="preserve">tightening</w:t>
      </w:r>
      <w:r>
        <w:rPr>
          <w:b w:val="false"/>
          <w:bCs w:val="false"/>
        </w:rPr>
        <w:t xml:space="preserve">, not easing.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Bonds sold off.</w:t>
      </w:r>
      <w:r>
        <w:rPr>
          <w:b w:val="false"/>
          <w:bCs w:val="false"/>
        </w:rPr>
        <w:t xml:space="preserve"> Long yields rose accordingly: the German 10-year Bund hit 15-year highs over the summer (around 3.3-3.6%) before easing back toward 3.35% in late October. Stress concentrated on France, where the yield gap to Germany widened to around 170 basis points, the most since the debt crisis — a watch point for any government-bond sleeve.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Equities, though, held up well.</w:t>
      </w:r>
      <w:r>
        <w:rPr>
          <w:b w:val="false"/>
          <w:bCs w:val="false"/>
        </w:rPr>
        <w:t xml:space="preserve"> Despite that backdrop, the Stoxx 600 gained roughly 9-10% and set records in August. But the rise was very uneven: </w:t>
      </w:r>
      <w:r>
        <w:rPr>
          <w:b/>
          <w:bCs/>
        </w:rPr>
        <w:t xml:space="preserve">semiconductors</w:t>
      </w:r>
      <w:r>
        <w:rPr>
          <w:b w:val="false"/>
          <w:bCs w:val="false"/>
        </w:rPr>
        <w:t xml:space="preserve"> (ASML to the fore, +60% and more) and </w:t>
      </w:r>
      <w:r>
        <w:rPr>
          <w:b/>
          <w:bCs/>
        </w:rPr>
        <w:t xml:space="preserve">banks</w:t>
      </w:r>
      <w:r>
        <w:rPr>
          <w:b w:val="false"/>
          <w:bCs w:val="false"/>
        </w:rPr>
        <w:t xml:space="preserve"> (+22%, lifted by consolidation) led; </w:t>
      </w:r>
      <w:r>
        <w:rPr>
          <w:b/>
          <w:bCs/>
        </w:rPr>
        <w:t xml:space="preserve">autos</w:t>
      </w:r>
      <w:r>
        <w:rPr>
          <w:b w:val="false"/>
          <w:bCs w:val="false"/>
        </w:rPr>
        <w:t xml:space="preserve"> (−16%) and </w:t>
      </w:r>
      <w:r>
        <w:rPr>
          <w:b/>
          <w:bCs/>
        </w:rPr>
        <w:t xml:space="preserve">luxury</w:t>
      </w:r>
      <w:r>
        <w:rPr>
          <w:b w:val="false"/>
          <w:bCs w:val="false"/>
        </w:rPr>
        <w:t xml:space="preserve"> (soft Chinese demand) were the big laggards.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Two currency effects, finally.</w:t>
      </w:r>
      <w:r>
        <w:rPr>
          <w:b w:val="false"/>
          <w:bCs w:val="false"/>
        </w:rPr>
        <w:t xml:space="preserve"> Despite the ECB's hikes, the euro </w:t>
      </w:r>
      <w:r>
        <w:rPr>
          <w:b/>
          <w:bCs/>
        </w:rPr>
        <w:t xml:space="preserve">weakened</w:t>
      </w:r>
      <w:r>
        <w:rPr>
          <w:b w:val="false"/>
          <w:bCs w:val="false"/>
        </w:rPr>
        <w:t xml:space="preserve"> (−5.1% against the dollar) — an energy importer's currency suffers in an oil shock; conversely the oil-linked Norwegian krone strengthened. And gold, the safe haven, spiked early in the year (peak +23% in dollars in late January) before fading: it ends </w:t>
      </w:r>
      <w:r>
        <w:rPr>
          <w:b/>
          <w:bCs/>
        </w:rPr>
        <w:t xml:space="preserve">−6.6%</w:t>
      </w:r>
      <w:r>
        <w:rPr>
          <w:b w:val="false"/>
          <w:bCs w:val="false"/>
        </w:rPr>
        <w:t xml:space="preserve"> in dollars, but only −1.6% in euros, the weak euro having cushioned the fall.</w:t>
      </w:r>
    </w:p>
    <w:p>
      <w:pPr>
        <w:pStyle w:val="Heading1"/>
      </w:pPr>
      <w:r>
        <w:t xml:space="preserve">3. How the portfolio moved, month by month</w:t>
      </w:r>
    </w:p>
    <w:p>
      <w:pPr>
        <w:spacing w:after="40" w:before="80"/>
        <w:jc w:val="center"/>
      </w:pPr>
      <w:r>
        <w:drawing>
          <wp:inline distT="0" distB="0" distL="0" distR="0">
            <wp:extent cx="58483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069"/>
          <w:sz w:val="17"/>
          <w:szCs w:val="17"/>
        </w:rPr>
        <w:t xml:space="preserve">Portfolio value rebased to 100, in euros, against the inflation target and the mandate's loss floor.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January-February: a quiet climb.</w:t>
      </w:r>
      <w:r>
        <w:rPr>
          <w:b w:val="false"/>
          <w:bCs w:val="false"/>
        </w:rPr>
        <w:t xml:space="preserve"> The portfolio appreciates gently, carried by still-calm equities, while gold already plays safe haven at the first signs of tension.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Late February-March: the only real air pocket.</w:t>
      </w:r>
      <w:r>
        <w:rPr>
          <w:b w:val="false"/>
          <w:bCs w:val="false"/>
        </w:rPr>
        <w:t xml:space="preserve"> The oil shock and the jump in yields push equities down; the year's low is reached on 27 March, at </w:t>
      </w:r>
      <w:r>
        <w:rPr>
          <w:b/>
          <w:bCs/>
        </w:rPr>
        <w:t xml:space="preserve">−3.6%</w:t>
      </w:r>
      <w:r>
        <w:rPr>
          <w:b w:val="false"/>
          <w:bCs w:val="false"/>
        </w:rPr>
        <w:t xml:space="preserve"> from the peak. This is the telling moment: bonds do not play their usual shock-absorber role, because yields rise </w:t>
      </w:r>
      <w:r>
        <w:rPr>
          <w:b/>
          <w:bCs/>
        </w:rPr>
        <w:t xml:space="preserve">at the same time</w:t>
      </w:r>
      <w:r>
        <w:rPr>
          <w:b w:val="false"/>
          <w:bCs w:val="false"/>
        </w:rPr>
        <w:t xml:space="preserve"> as equities fall. And yet the loss stays contained at 3.6% — more than 11 points from the limit. Diversification did not need bonds that day: the equity sleeve's own moderation was enough.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April to summer: the rebuild, then the records.</w:t>
      </w:r>
      <w:r>
        <w:rPr>
          <w:b w:val="false"/>
          <w:bCs w:val="false"/>
        </w:rPr>
        <w:t xml:space="preserve"> Once the shock is digested, equities turn up and keep going: semiconductors, energy, banks and utilities drag the European index to new highs in August, and the portfolio with it. Most of the +6% is built over this stretch.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Autumn: consolidation.</w:t>
      </w:r>
      <w:r>
        <w:rPr>
          <w:b w:val="false"/>
          <w:bCs w:val="false"/>
        </w:rPr>
        <w:t xml:space="preserve"> Since September the portfolio has hovered around its +6% level, bonds still weighing slightly while equities hold their gains. Nothing spectacular — which, for a defensive mandate, is good news.</w:t>
      </w:r>
    </w:p>
    <w:p>
      <w:pPr>
        <w:pStyle w:val="Heading1"/>
      </w:pPr>
      <w:r>
        <w:t xml:space="preserve">4. By asset category</w:t>
      </w:r>
    </w:p>
    <w:p>
      <w:pPr>
        <w:spacing w:after="40" w:before="80"/>
        <w:jc w:val="center"/>
      </w:pPr>
      <w:r>
        <w:drawing>
          <wp:inline distT="0" distB="0" distL="0" distR="0">
            <wp:extent cx="58483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069"/>
          <w:sz w:val="17"/>
          <w:szCs w:val="17"/>
        </w:rPr>
        <w:t xml:space="preserve">Each sleeve rebased to 100 on 1 January. Equities rise, bonds stay flat, gold round-trips.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00"/>
        <w:gridCol w:w="2200"/>
        <w:gridCol w:w="2200"/>
      </w:tblGrid>
      <w:tr>
        <w:trPr>
          <w:tblHeader/>
        </w:trPr>
        <w:tc>
          <w:tcPr>
            <w:tcW w:type="dxa" w:w="336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Sleeve</w:t>
            </w:r>
          </w:p>
        </w:tc>
        <w:tc>
          <w:tcPr>
            <w:tcW w:type="dxa" w:w="16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2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2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</w:tr>
      <w:tr>
        <w:tc>
          <w:tcPr>
            <w:tcW w:type="dxa" w:w="3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Equities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30.4%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+22.6%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+6.86 pts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Bonds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66.3%</w:t>
            </w:r>
          </w:p>
        </w:tc>
        <w:tc>
          <w:tcPr>
            <w:tcW w:type="dxa" w:w="22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−1.2%</w:t>
            </w:r>
          </w:p>
        </w:tc>
        <w:tc>
          <w:tcPr>
            <w:tcW w:type="dxa" w:w="22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−0.78 pts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Gold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3.3%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−1.6%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−0.05 pts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Equities (30.4%) are the engine.</w:t>
      </w:r>
      <w:r>
        <w:rPr>
          <w:b w:val="false"/>
          <w:bCs w:val="false"/>
        </w:rPr>
        <w:t xml:space="preserve"> They gained +22.6% over the year and delivered almost all of the performance. Notably, they clearly beat the broad European index (around +9-10%), thanks to </w:t>
      </w:r>
      <w:r>
        <w:rPr>
          <w:b/>
          <w:bCs/>
        </w:rPr>
        <w:t xml:space="preserve">selection</w:t>
      </w:r>
      <w:r>
        <w:rPr>
          <w:b w:val="false"/>
          <w:bCs w:val="false"/>
        </w:rPr>
        <w:t xml:space="preserve"> — detailed in the sector and stock sections below.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Bonds (66.3%) are the base, and they did their job.</w:t>
      </w:r>
      <w:r>
        <w:rPr>
          <w:b w:val="false"/>
          <w:bCs w:val="false"/>
        </w:rPr>
        <w:t xml:space="preserve"> They fell only 1.2% in a year of sharply rising yields. The breakdown is instructive: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400"/>
        <w:gridCol w:w="1800"/>
        <w:gridCol w:w="1800"/>
      </w:tblGrid>
      <w:tr>
        <w:trPr>
          <w:tblHeader/>
        </w:trPr>
        <w:tc>
          <w:tcPr>
            <w:tcW w:type="dxa" w:w="436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Sub-sleeve</w:t>
            </w:r>
          </w:p>
        </w:tc>
        <w:tc>
          <w:tcPr>
            <w:tcW w:type="dxa" w:w="14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8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8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Govt 2-10y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(3-7y proxy)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41.3%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B5302F"/>
                <w:sz w:val="19"/>
                <w:szCs w:val="19"/>
              </w:rPr>
              <w:t xml:space="preserve">−2.1%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−0.88 pts</w:t>
            </w:r>
          </w:p>
        </w:tc>
      </w:tr>
      <w:tr>
        <w:tc>
          <w:tcPr>
            <w:tcW w:type="dxa" w:w="436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AAA 6-24m ladder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(1-3y proxy)</w:t>
            </w:r>
          </w:p>
        </w:tc>
        <w:tc>
          <w:tcPr>
            <w:tcW w:type="dxa" w:w="14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10.0%</w:t>
            </w:r>
          </w:p>
        </w:tc>
        <w:tc>
          <w:tcPr>
            <w:tcW w:type="dxa" w:w="18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A7A0A"/>
                <w:sz w:val="19"/>
                <w:szCs w:val="19"/>
              </w:rPr>
              <w:t xml:space="preserve">+0.3%</w:t>
            </w:r>
          </w:p>
        </w:tc>
        <w:tc>
          <w:tcPr>
            <w:tcW w:type="dxa" w:w="18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0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Inflation-linked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(IBCI)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A7A0A"/>
                <w:sz w:val="19"/>
                <w:szCs w:val="19"/>
              </w:rPr>
              <w:t xml:space="preserve">+0.5%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0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 w:val="false"/>
          <w:bCs w:val="false"/>
        </w:rPr>
        <w:t xml:space="preserve">All of the loss comes from the </w:t>
      </w:r>
      <w:r>
        <w:rPr>
          <w:b/>
          <w:bCs/>
        </w:rPr>
        <w:t xml:space="preserve">long</w:t>
      </w:r>
      <w:r>
        <w:rPr>
          <w:b w:val="false"/>
          <w:bCs w:val="false"/>
        </w:rPr>
        <w:t xml:space="preserve"> government sleeve (−2.1%): the most sensitive to rising yields. Against it, the </w:t>
      </w:r>
      <w:r>
        <w:rPr>
          <w:b/>
          <w:bCs/>
        </w:rPr>
        <w:t xml:space="preserve">short AAA ladder</w:t>
      </w:r>
      <w:r>
        <w:rPr>
          <w:b w:val="false"/>
          <w:bCs w:val="false"/>
        </w:rPr>
        <w:t xml:space="preserve"> — where the €10m to be withdrawn sits — and the </w:t>
      </w:r>
      <w:r>
        <w:rPr>
          <w:b/>
          <w:bCs/>
        </w:rPr>
        <w:t xml:space="preserve">inflation-linked</w:t>
      </w:r>
      <w:r>
        <w:rPr>
          <w:b w:val="false"/>
          <w:bCs w:val="false"/>
        </w:rPr>
        <w:t xml:space="preserve"> bonds stayed positive (+0.3% and +0.5%). The short end protected the liquidity, and linkers protected against inflation: both sleeves worked in exactly the year they were meant for.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Gold (3.3%) round-tripped.</w:t>
      </w:r>
      <w:r>
        <w:rPr>
          <w:b w:val="false"/>
          <w:bCs w:val="false"/>
        </w:rPr>
        <w:t xml:space="preserve"> A sought-after haven early in the year, it then faded to finish −1.6% in euros. Insurance that, this year, cost almost nothing (−0.05 pts).</w:t>
      </w:r>
    </w:p>
    <w:p>
      <w:pPr>
        <w:pStyle w:val="Heading1"/>
      </w:pPr>
      <w:r>
        <w:t xml:space="preserve">5. By sector (the European equity basket)</w:t>
      </w:r>
    </w:p>
    <w:p>
      <w:pPr>
        <w:spacing w:after="40" w:before="80"/>
        <w:jc w:val="center"/>
      </w:pPr>
      <w:r>
        <w:drawing>
          <wp:inline distT="0" distB="0" distL="0" distR="0">
            <wp:extent cx="58483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069"/>
          <w:sz w:val="17"/>
          <w:szCs w:val="17"/>
        </w:rPr>
        <w:t xml:space="preserve">Each sector's contribution within the 15-stock European basket to total performance, in percentage points.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The European equity basket benefited </w:t>
      </w:r>
      <w:r>
        <w:rPr>
          <w:b/>
          <w:bCs/>
        </w:rPr>
        <w:t xml:space="preserve">very broadly</w:t>
      </w:r>
      <w:r>
        <w:rPr>
          <w:b w:val="false"/>
          <w:bCs w:val="false"/>
        </w:rPr>
        <w:t xml:space="preserve"> from the macro backdrop. Eight of nine sectors are positive, and the only flat one (communication) stays so by a whisker.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Energy dominates</w:t>
      </w:r>
      <w:r>
        <w:rPr>
          <w:b w:val="false"/>
          <w:bCs w:val="false"/>
        </w:rPr>
        <w:t xml:space="preserve"> (+0.95 pts, +117.1% performance): a single holding, Vår Energi, lifted by the oil shock. Next come </w:t>
      </w:r>
      <w:r>
        <w:rPr>
          <w:b/>
          <w:bCs/>
        </w:rPr>
        <w:t xml:space="preserve">healthcare</w:t>
      </w:r>
      <w:r>
        <w:rPr>
          <w:b w:val="false"/>
          <w:bCs w:val="false"/>
        </w:rPr>
        <w:t xml:space="preserve"> (+0.57 pts), driven by Orion, </w:t>
      </w:r>
      <w:r>
        <w:rPr>
          <w:b/>
          <w:bCs/>
        </w:rPr>
        <w:t xml:space="preserve">utilities</w:t>
      </w:r>
      <w:r>
        <w:rPr>
          <w:b w:val="false"/>
          <w:bCs w:val="false"/>
        </w:rPr>
        <w:t xml:space="preserve"> (+0.55 pts) — Iberian names directly sensitive to energy prices — </w:t>
      </w:r>
      <w:r>
        <w:rPr>
          <w:b/>
          <w:bCs/>
        </w:rPr>
        <w:t xml:space="preserve">industrials</w:t>
      </w:r>
      <w:r>
        <w:rPr>
          <w:b w:val="false"/>
          <w:bCs w:val="false"/>
        </w:rPr>
        <w:t xml:space="preserve"> (+0.51 pts) and </w:t>
      </w:r>
      <w:r>
        <w:rPr>
          <w:b/>
          <w:bCs/>
        </w:rPr>
        <w:t xml:space="preserve">financials</w:t>
      </w:r>
      <w:r>
        <w:rPr>
          <w:b w:val="false"/>
          <w:bCs w:val="false"/>
        </w:rPr>
        <w:t xml:space="preserve"> (+0.48 pts), at the heart of the re-rating of European banks and insurers.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Technology</w:t>
      </w:r>
      <w:r>
        <w:rPr>
          <w:b w:val="false"/>
          <w:bCs w:val="false"/>
        </w:rPr>
        <w:t xml:space="preserve"> (+0.42 pts, +51.3%) is “only” sixth by contribution despite ASML's very large rise, because it is a single holding. </w:t>
      </w:r>
      <w:r>
        <w:rPr>
          <w:b/>
          <w:bCs/>
        </w:rPr>
        <w:t xml:space="preserve">Consumer</w:t>
      </w:r>
      <w:r>
        <w:rPr>
          <w:b w:val="false"/>
          <w:bCs w:val="false"/>
        </w:rPr>
        <w:t xml:space="preserve"> (cyclical +0.37 pts and defensive +0.28 pts) rounds out the picture. Only </w:t>
      </w:r>
      <w:r>
        <w:rPr>
          <w:b/>
          <w:bCs/>
        </w:rPr>
        <w:t xml:space="preserve">communication</w:t>
      </w:r>
      <w:r>
        <w:rPr>
          <w:b w:val="false"/>
          <w:bCs w:val="false"/>
        </w:rPr>
        <w:t xml:space="preserve"> (−0.03 pts) is neutral: Airtel Africa's fall cancels Publicis's gain.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takeaway is twofold.</w:t>
      </w:r>
      <w:r>
        <w:rPr>
          <w:b w:val="false"/>
          <w:bCs w:val="false"/>
        </w:rPr>
        <w:t xml:space="preserve"> First, performance is </w:t>
      </w:r>
      <w:r>
        <w:rPr>
          <w:b/>
          <w:bCs/>
        </w:rPr>
        <w:t xml:space="preserve">broad</w:t>
      </w:r>
      <w:r>
        <w:rPr>
          <w:b w:val="false"/>
          <w:bCs w:val="false"/>
        </w:rPr>
        <w:t xml:space="preserve">, not a concentrated sector bet. Second — and at least as important — the basket holds </w:t>
      </w:r>
      <w:r>
        <w:rPr>
          <w:b/>
          <w:bCs/>
        </w:rPr>
        <w:t xml:space="preserve">no autos and no luxury</w:t>
      </w:r>
      <w:r>
        <w:rPr>
          <w:b w:val="false"/>
          <w:bCs w:val="false"/>
        </w:rPr>
        <w:t xml:space="preserve">, the two sectors that lost money in Europe this year. What is absent matters as much as what is present.</w:t>
      </w:r>
    </w:p>
    <w:p>
      <w:pPr>
        <w:pStyle w:val="Heading1"/>
      </w:pPr>
      <w:r>
        <w:t xml:space="preserve">6. By holding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069"/>
          <w:sz w:val="17"/>
          <w:szCs w:val="17"/>
        </w:rPr>
        <w:t xml:space="preserve">Each holding's contribution to 2026 performance, in percentage points. Green: positive; red: negative.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locomotives.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Vår Energi</w:t>
      </w:r>
      <w:r>
        <w:rPr>
          <w:b w:val="false"/>
          <w:bCs w:val="false"/>
        </w:rPr>
        <w:t xml:space="preserve"> (+117.1% in euros) posts the largest rise: solid production and dividends, high oil prices, and a Norwegian krone that adds to the euro gain. </w:t>
      </w:r>
      <w:r>
        <w:rPr>
          <w:b/>
          <w:bCs/>
        </w:rPr>
        <w:t xml:space="preserve">Orion</w:t>
      </w:r>
      <w:r>
        <w:rPr>
          <w:b w:val="false"/>
          <w:bCs w:val="false"/>
        </w:rPr>
        <w:t xml:space="preserve"> (+58.8%) benefits from the ramp-up of its prostate-cancer treatment (Nubeqa, with Bayer). </w:t>
      </w:r>
      <w:r>
        <w:rPr>
          <w:b/>
          <w:bCs/>
        </w:rPr>
        <w:t xml:space="preserve">ASML</w:t>
      </w:r>
      <w:r>
        <w:rPr>
          <w:b w:val="false"/>
          <w:bCs w:val="false"/>
        </w:rPr>
        <w:t xml:space="preserve"> (+51.3%), the world's only maker of EUV lithography machines, remains the thoroughbred of the semiconductor cycle. Behind them, </w:t>
      </w:r>
      <w:r>
        <w:rPr>
          <w:b/>
          <w:bCs/>
        </w:rPr>
        <w:t xml:space="preserve">Endesa</w:t>
      </w:r>
      <w:r>
        <w:rPr>
          <w:b w:val="false"/>
          <w:bCs w:val="false"/>
        </w:rPr>
        <w:t xml:space="preserve"> (+46.4%) and </w:t>
      </w:r>
      <w:r>
        <w:rPr>
          <w:b/>
          <w:bCs/>
        </w:rPr>
        <w:t xml:space="preserve">Naturgy</w:t>
      </w:r>
      <w:r>
        <w:rPr>
          <w:b w:val="false"/>
          <w:bCs w:val="false"/>
        </w:rPr>
        <w:t xml:space="preserve"> (+21.3%) — Iberian utilities — , </w:t>
      </w:r>
      <w:r>
        <w:rPr>
          <w:b/>
          <w:bCs/>
        </w:rPr>
        <w:t xml:space="preserve">Diploma</w:t>
      </w:r>
      <w:r>
        <w:rPr>
          <w:b w:val="false"/>
          <w:bCs w:val="false"/>
        </w:rPr>
        <w:t xml:space="preserve"> (+43.2%), </w:t>
      </w:r>
      <w:r>
        <w:rPr>
          <w:b/>
          <w:bCs/>
        </w:rPr>
        <w:t xml:space="preserve">AB InBev</w:t>
      </w:r>
      <w:r>
        <w:rPr>
          <w:b w:val="false"/>
          <w:bCs w:val="false"/>
        </w:rPr>
        <w:t xml:space="preserve"> (+34.4%), </w:t>
      </w:r>
      <w:r>
        <w:rPr>
          <w:b/>
          <w:bCs/>
        </w:rPr>
        <w:t xml:space="preserve">BAWAG</w:t>
      </w:r>
      <w:r>
        <w:rPr>
          <w:b w:val="false"/>
          <w:bCs w:val="false"/>
        </w:rPr>
        <w:t xml:space="preserve"> (+30.6%), </w:t>
      </w:r>
      <w:r>
        <w:rPr>
          <w:b/>
          <w:bCs/>
        </w:rPr>
        <w:t xml:space="preserve">Unipol</w:t>
      </w:r>
      <w:r>
        <w:rPr>
          <w:b w:val="false"/>
          <w:bCs w:val="false"/>
        </w:rPr>
        <w:t xml:space="preserve"> (+28.5%) and </w:t>
      </w:r>
      <w:r>
        <w:rPr>
          <w:b/>
          <w:bCs/>
        </w:rPr>
        <w:t xml:space="preserve">InterContinental</w:t>
      </w:r>
      <w:r>
        <w:rPr>
          <w:b w:val="false"/>
          <w:bCs w:val="false"/>
        </w:rPr>
        <w:t xml:space="preserve"> (+27.9%) line up gains of 25 to 50%.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pack.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Aena</w:t>
      </w:r>
      <w:r>
        <w:rPr>
          <w:b w:val="false"/>
          <w:bCs w:val="false"/>
        </w:rPr>
        <w:t xml:space="preserve"> (+19.6%), </w:t>
      </w:r>
      <w:r>
        <w:rPr>
          <w:b/>
          <w:bCs/>
        </w:rPr>
        <w:t xml:space="preserve">Publicis</w:t>
      </w:r>
      <w:r>
        <w:rPr>
          <w:b w:val="false"/>
          <w:bCs w:val="false"/>
        </w:rPr>
        <w:t xml:space="preserve"> (+18.3%), </w:t>
      </w:r>
      <w:r>
        <w:rPr>
          <w:b/>
          <w:bCs/>
        </w:rPr>
        <w:t xml:space="preserve">Next</w:t>
      </w:r>
      <w:r>
        <w:rPr>
          <w:b w:val="false"/>
          <w:bCs w:val="false"/>
        </w:rPr>
        <w:t xml:space="preserve"> (+17.9%) and </w:t>
      </w:r>
      <w:r>
        <w:rPr>
          <w:b/>
          <w:bCs/>
        </w:rPr>
        <w:t xml:space="preserve">Argenx</w:t>
      </w:r>
      <w:r>
        <w:rPr>
          <w:b w:val="false"/>
          <w:bCs w:val="false"/>
        </w:rPr>
        <w:t xml:space="preserve"> (+11.2%) rose more modestly, between 11 and 20% — respectable gains that, without making headlines, add to the whole.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only loser.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Airtel Africa</w:t>
      </w:r>
      <w:r>
        <w:rPr>
          <w:b w:val="false"/>
          <w:bCs w:val="false"/>
        </w:rPr>
        <w:t xml:space="preserve"> fell 21.5%, hit by rotation out of emerging-market-exposed names and by African currencies, despite good operating results. But since each stock carries the same weight (about 0.8% of wealth), the impact is limited to −0.17 pts: </w:t>
      </w:r>
      <w:r>
        <w:rPr>
          <w:b/>
          <w:bCs/>
        </w:rPr>
        <w:t xml:space="preserve">equal-weighting turned bad news into a footnote.</w:t>
      </w:r>
      <w:r>
        <w:rPr>
          <w:b w:val="false"/>
          <w:bCs w:val="false"/>
        </w:rPr>
        <w:t xml:space="preserve"> The same mechanism stops Vår Energi, at the other extreme, from turning the portfolio into an energy bet.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Finally, the three geographies</w:t>
      </w:r>
      <w:r>
        <w:rPr>
          <w:b w:val="false"/>
          <w:bCs w:val="false"/>
        </w:rPr>
        <w:t xml:space="preserve"> complement the European equities: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600"/>
        <w:gridCol w:w="2400"/>
      </w:tblGrid>
      <w:tr>
        <w:trPr>
          <w:tblHeader/>
        </w:trPr>
        <w:tc>
          <w:tcPr>
            <w:tcW w:type="dxa" w:w="436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Region (ETF)</w:t>
            </w:r>
          </w:p>
        </w:tc>
        <w:tc>
          <w:tcPr>
            <w:tcW w:type="dxa" w:w="26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2026 performance</w:t>
            </w:r>
          </w:p>
        </w:tc>
        <w:tc>
          <w:tcPr>
            <w:tcW w:type="dxa" w:w="2400"/>
            <w:shd w:fill="14304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Japan</w:t>
            </w:r>
            <w:r>
              <w:rPr>
                <w:b w:val="false"/>
                <w:bCs w:val="false"/>
                <w:sz w:val="19"/>
                <w:szCs w:val="19"/>
              </w:rPr>
              <w:t xml:space="preserve"> (XZMJ)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+23.7%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A7A0A"/>
                <w:sz w:val="19"/>
                <w:szCs w:val="19"/>
              </w:rPr>
              <w:t xml:space="preserve">+0.72 pts</w:t>
            </w:r>
          </w:p>
        </w:tc>
      </w:tr>
      <w:tr>
        <w:tc>
          <w:tcPr>
            <w:tcW w:type="dxa" w:w="436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United States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(XZMU)</w:t>
            </w:r>
          </w:p>
        </w:tc>
        <w:tc>
          <w:tcPr>
            <w:tcW w:type="dxa" w:w="26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+17.3%</w:t>
            </w:r>
          </w:p>
        </w:tc>
        <w:tc>
          <w:tcPr>
            <w:tcW w:type="dxa" w:w="2400"/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A7A0A"/>
                <w:sz w:val="19"/>
                <w:szCs w:val="19"/>
              </w:rPr>
              <w:t xml:space="preserve">+1.84 pts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Emerging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(XZEM)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+4.4%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A7A0A"/>
                <w:sz w:val="19"/>
                <w:szCs w:val="19"/>
              </w:rPr>
              <w:t xml:space="preserve">+0.20 pts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 w:val="false"/>
          <w:bCs w:val="false"/>
        </w:rPr>
        <w:t xml:space="preserve">Japan (+23.7%) and the United States (+17.3%, helped by a firmer dollar) contributed well; emerging markets (+4.4%) stayed quieter.</w:t>
      </w:r>
    </w:p>
    <w:p>
      <w:pPr>
        <w:pStyle w:val="Heading1"/>
      </w:pPr>
      <w:r>
        <w:t xml:space="preserve">7. Does the thesis hold?</w:t>
      </w:r>
    </w:p>
    <w:p>
      <w:pPr>
        <w:spacing w:after="120" w:line="276"/>
        <w:jc w:val="both"/>
      </w:pPr>
      <w:r>
        <w:rPr>
          <w:b w:val="false"/>
          <w:bCs w:val="false"/>
        </w:rPr>
        <w:t xml:space="preserve">The mandate's defensive thesis </w:t>
      </w:r>
      <w:r>
        <w:rPr>
          <w:b/>
          <w:bCs/>
        </w:rPr>
        <w:t xml:space="preserve">holds both ways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floor held comfortably.</w:t>
      </w:r>
      <w:r>
        <w:rPr>
          <w:b w:val="false"/>
          <w:bCs w:val="false"/>
        </w:rPr>
        <w:t xml:space="preserve"> The year's worst drawdown (−3.6%) stays more than 11 points from the −15% limit, even though bonds were not playing their usual shock-absorber role. The portfolio never put the client at risk.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The engine was enough.</w:t>
      </w:r>
      <w:r>
        <w:rPr>
          <w:b w:val="false"/>
          <w:bCs w:val="false"/>
        </w:rPr>
        <w:t xml:space="preserve"> +6.0%, i.e. +2.7 pts above the inflation to beat. In a year when inflation did come back, the core objective — preserving purchasing power — is met.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Selection paid off.</w:t>
      </w:r>
      <w:r>
        <w:rPr>
          <w:b w:val="false"/>
          <w:bCs w:val="false"/>
        </w:rPr>
        <w:t xml:space="preserve"> Beating the European index by more than ten points is no accident: it is the result of a well-positioned basket (energy, healthcare, utilities, banks) and, above all, one </w:t>
      </w:r>
      <w:r>
        <w:rPr>
          <w:b/>
          <w:bCs/>
        </w:rPr>
        <w:t xml:space="preserve">cleared</w:t>
      </w:r>
      <w:r>
        <w:rPr>
          <w:b w:val="false"/>
          <w:bCs w:val="false"/>
        </w:rPr>
        <w:t xml:space="preserve"> of the year's losing sectors. Geographic diversification and equal-weighting did the rest.</w:t>
      </w:r>
    </w:p>
    <w:p>
      <w:pPr>
        <w:pStyle w:val="Heading1"/>
      </w:pPr>
      <w:r>
        <w:t xml:space="preserve">8. Rebalancing and watch points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Weight drift.</w:t>
      </w:r>
      <w:r>
        <w:rPr>
          <w:b w:val="false"/>
          <w:bCs w:val="false"/>
        </w:rPr>
        <w:t xml:space="preserve"> Equities (+22.6%) rose far faster than the rest; their actual share has drifted above the 30.4% target. The monthly rebalancing set out in the mandate trims equities back toward bonds — this is the move that re-arms protection after a rally.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Bonds now pay more.</w:t>
      </w:r>
      <w:r>
        <w:rPr>
          <w:b w:val="false"/>
          <w:bCs w:val="false"/>
        </w:rPr>
        <w:t xml:space="preserve"> Rising yields cost this year, but they improve the government sleeve's expected return going forward: reinvestment happens at higher rates, and the protection cushion is thicker than at the start of the year.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Vår Energi</w:t>
      </w:r>
      <w:r>
        <w:rPr>
          <w:b w:val="false"/>
          <w:bCs w:val="false"/>
        </w:rPr>
        <w:t xml:space="preserve"> has become, by far, the largest holding in the basket after its +117.1%. The sole energy exposure, volatile and oil-price-driven: one to watch, and the basket's rebalancing brings it back to size.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France.</w:t>
      </w:r>
      <w:r>
        <w:rPr>
          <w:b w:val="false"/>
          <w:bCs w:val="false"/>
        </w:rPr>
        <w:t xml:space="preserve"> The OAT-Bund spread at its widest since the debt crisis warrants keeping an eye on the government sleeve's composition and avoiding an overweight to French paper.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AAA 6-24m ladder (the €10m of liquidity).</w:t>
      </w:r>
      <w:r>
        <w:rPr>
          <w:b w:val="false"/>
          <w:bCs w:val="false"/>
        </w:rPr>
        <w:t xml:space="preserve"> +0.3% on the year: consistent with its role — preserving the sum to be withdrawn, not making it work.</w:t>
      </w:r>
    </w:p>
    <w:p>
      <w:pPr>
        <w:pStyle w:val="Heading1"/>
      </w:pPr>
      <w:r>
        <w:t xml:space="preserve">9. Method and limits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Window:</w:t>
      </w:r>
      <w:r>
        <w:rPr>
          <w:b w:val="false"/>
          <w:bCs w:val="false"/>
        </w:rPr>
        <w:t xml:space="preserve"> 02/01/2026 → 29/10/2026 (300 days). Daily prices, dividends reinvested, everything converted to euros (FX for London- and Oslo-listed names).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Construction:</w:t>
      </w:r>
      <w:r>
        <w:rPr>
          <w:b w:val="false"/>
          <w:bCs w:val="false"/>
        </w:rPr>
        <w:t xml:space="preserve"> buy-and-hold at target weights since 1 January, with no rebalancing inside the calculation — weights drift with prices, as they do in reality between two rebalancings.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Direct bonds → maturity-matched ETF proxies:</w:t>
      </w:r>
      <w:r>
        <w:rPr>
          <w:b w:val="false"/>
          <w:bCs w:val="false"/>
        </w:rPr>
        <w:t xml:space="preserve"> 2-10y government bonds represented by a euro-area 3-7y government ETF; the 6-24m AAA ladder by a 1-3y ETF. The proxy reproduces the sleeve's behaviour, not the exact price of the holdings.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Macro references:</w:t>
      </w:r>
      <w:r>
        <w:rPr>
          <w:b w:val="false"/>
          <w:bCs w:val="false"/>
        </w:rPr>
        <w:t xml:space="preserve"> oil (Brent) and gold in dollars; ECB, inflation, index and yield figures taken from public sources in October 2026. These are dated facts, not continuously recomputed.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Worst drawdown</w:t>
      </w:r>
      <w:r>
        <w:rPr>
          <w:b w:val="false"/>
          <w:bCs w:val="false"/>
        </w:rPr>
        <w:t xml:space="preserve"> measured daily over this year only: it lights up recent behaviour but does not replace the mandate's 2006-2026 test (−14.0% at worst), which remains the reference for the −15% limit.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Reminder:</w:t>
      </w:r>
      <w:r>
        <w:rPr>
          <w:b w:val="false"/>
          <w:bCs w:val="false"/>
        </w:rPr>
        <w:t xml:space="preserve"> YTD ≠ realised gain — the mandate dates from 24/09. These figures describe the selection over the year, not an account statement.</w:t>
      </w:r>
    </w:p>
    <w:sectPr>
      <w:pgSz w:w="11906" w:h="16838" w:orient="portrait"/>
      <w:pgMar w:top="1100" w:right="1040" w:bottom="11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1430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14304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95a8cacca2de019f364d87eea9cf120d34da80.png"/><Relationship Id="rId8" Type="http://schemas.openxmlformats.org/officeDocument/2006/relationships/image" Target="media/25de6b744526b6db7c632b7f3fc1c0f32dc120dd.png"/><Relationship Id="rId9" Type="http://schemas.openxmlformats.org/officeDocument/2006/relationships/image" Target="media/89ce985693041a46dbc1eaae8cb53eb903fb4169.png"/><Relationship Id="rId10" Type="http://schemas.openxmlformats.org/officeDocument/2006/relationships/image" Target="media/a0a13a7ffefe843371ca6dbbb8f1b2f056fbd0a3.png"/><Relationship Id="rId11" Type="http://schemas.openxmlformats.org/officeDocument/2006/relationships/image" Target="media/44d28ab5d77adb640cafcbe6d17219348d0d8f2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 Lauren — portfolio monitoring 2026</dc:title>
  <dc:creator>Allan Guichard</dc:creator>
  <dc:description>YTD review of the Mandat Lauren portfolio</dc:description>
  <cp:lastModifiedBy>Un-named</cp:lastModifiedBy>
  <cp:revision>1</cp:revision>
  <dcterms:created xsi:type="dcterms:W3CDTF">2026-10-29T10:31:33.318Z</dcterms:created>
  <dcterms:modified xsi:type="dcterms:W3CDTF">2026-10-29T10:31:33.318Z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