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0"/>
      </w:pPr>
      <w:r>
        <w:rPr>
          <w:b/>
          <w:bCs/>
          <w:color w:val="14304F"/>
          <w:sz w:val="56"/>
          <w:szCs w:val="56"/>
        </w:rPr>
        <w:t xml:space="preserve">Mandat Lauren</w:t>
      </w:r>
    </w:p>
    <w:p>
      <w:pPr>
        <w:spacing w:after="320"/>
      </w:pPr>
      <w:r>
        <w:rPr>
          <w:color w:val="5A6069"/>
          <w:sz w:val="32"/>
          <w:szCs w:val="32"/>
        </w:rPr>
        <w:t xml:space="preserve">Suivi et analyse de portefeuille — année 2026</w:t>
      </w:r>
    </w:p>
    <w:p>
      <w:pPr>
        <w:spacing w:after="120" w:line="276"/>
        <w:jc w:val="both"/>
      </w:pPr>
      <w:r>
        <w:rPr>
          <w:b w:val="false"/>
          <w:bCs w:val="false"/>
        </w:rPr>
        <w:t xml:space="preserve">Gestion privée · 100 M€ · préserver le pouvoir d'achat sous contrainte de perte maximum de 15 %</w:t>
      </w:r>
    </w:p>
    <w:p>
      <w:pPr>
        <w:spacing w:after="120" w:line="276"/>
        <w:jc w:val="both"/>
      </w:pPr>
      <w:r>
        <w:rPr>
          <w:b w:val="false"/>
          <w:bCs w:val="false"/>
        </w:rPr>
        <w:t xml:space="preserve"/>
      </w:r>
      <w:r>
        <w:rPr>
          <w:b/>
          <w:bCs/>
        </w:rPr>
        <w:t xml:space="preserve">Période :</w:t>
      </w:r>
      <w:r>
        <w:rPr>
          <w:b w:val="false"/>
          <w:bCs w:val="false"/>
        </w:rPr>
        <w:t xml:space="preserve"> 1ᵉʳ janvier → 29 octobre 2026 (depuis le début de l'année). </w:t>
      </w:r>
      <w:r>
        <w:rPr>
          <w:b/>
          <w:bCs/>
        </w:rPr>
        <w:t xml:space="preserve">Arrêté au 29 octobre 2026.</w:t>
      </w:r>
      <w:r>
        <w:rPr>
          <w:b w:val="false"/>
          <w:bCs w:val="false"/>
        </w:rPr>
        <w:t xml:space="preserve"/>
      </w:r>
    </w:p>
    <w:p>
      <w:pPr>
        <w:spacing w:after="120"/>
      </w:pPr>
    </w:p>
    <w:tbl>
      <w:tblPr>
        <w:tblW w:type="dxa" w:w="9360"/>
        <w:tblBorders>
          <w:top w:val="single" w:color="C9CFD6" w:sz="2"/>
          <w:left w:val="single" w:color="14304F" w:sz="12"/>
          <w:bottom w:val="single" w:color="C9CFD6" w:sz="2"/>
          <w:right w:val="single" w:color="C9CFD6" w:sz="2"/>
          <w:insideH w:val="none"/>
          <w:insideV w:val="none"/>
        </w:tblBorders>
      </w:tblPr>
      <w:tblGrid>
        <w:gridCol w:w="9360"/>
      </w:tblGrid>
      <w:tr>
        <w:tc>
          <w:tcPr>
            <w:tcW w:type="dxa" w:w="9360"/>
            <w:shd w:fill="F2F4F7" w:val="clear"/>
            <w:tcMar>
              <w:top w:type="dxa" w:w="160"/>
              <w:left w:type="dxa" w:w="200"/>
              <w:bottom w:type="dxa" w:w="160"/>
              <w:right w:type="dxa" w:w="200"/>
            </w:tcMar>
          </w:tcPr>
          <w:p>
            <w:pPr>
              <w:spacing w:after="80"/>
            </w:pPr>
            <w:r>
              <w:rPr>
                <w:b/>
                <w:bCs/>
                <w:color w:val="14304F"/>
              </w:rPr>
              <w:t xml:space="preserve">Ce que mesure cette note</w:t>
            </w:r>
          </w:p>
          <w:p>
            <w:pPr>
              <w:spacing w:after="120" w:line="276"/>
              <w:jc w:val="both"/>
            </w:pPr>
            <w:r>
              <w:rPr>
                <w:b w:val="false"/>
                <w:bCs w:val="false"/>
              </w:rPr>
              <w:t xml:space="preserve">Le portefeuille a été arrêté le 24/09/2026. Un suivi « depuis le 1ᵉʳ janvier » n'est donc </w:t>
            </w:r>
            <w:r>
              <w:rPr>
                <w:b/>
                <w:bCs/>
              </w:rPr>
              <w:t xml:space="preserve">pas un gain réalisé</w:t>
            </w:r>
            <w:r>
              <w:rPr>
                <w:b w:val="false"/>
                <w:bCs w:val="false"/>
              </w:rPr>
              <w:t xml:space="preserve">, mais une analyse de </w:t>
            </w:r>
            <w:r>
              <w:rPr>
                <w:b/>
                <w:bCs/>
              </w:rPr>
              <w:t xml:space="preserve">ce qu'aurait fait la sélection sur l'année 2026</w:t>
            </w:r>
            <w:r>
              <w:rPr>
                <w:b w:val="false"/>
                <w:bCs w:val="false"/>
              </w:rPr>
              <w:t xml:space="preserve"> : comment elle s'est comportée, pourquoi, et ce que cela dit de la thèse.</w:t>
            </w:r>
          </w:p>
          <w:p>
            <w:pPr>
              <w:spacing w:after="120" w:line="276"/>
              <w:jc w:val="both"/>
            </w:pPr>
            <w:r>
              <w:rPr>
                <w:b w:val="false"/>
                <w:bCs w:val="false"/>
              </w:rPr>
              <w:t xml:space="preserve">Les chiffres du portefeuille sont calculés en euros, dividendes réinvestis. Les deux poches d'obligations détenues en direct sont représentées par des ETF de même maturité. Les repères de marché (BCE, inflation, indices, taux) sont des faits datés d'octobre 2026. Méthode complète en fin de note.</w:t>
            </w:r>
          </w:p>
        </w:tc>
      </w:tr>
    </w:tbl>
    <w:p>
      <w:r>
        <w:br w:type="page"/>
      </w:r>
    </w:p>
    <w:p>
      <w:pPr>
        <w:pStyle w:val="Heading1"/>
      </w:pPr>
      <w:r>
        <w:t xml:space="preserve">1. Résumé</w:t>
      </w:r>
    </w:p>
    <w:p>
      <w:pPr>
        <w:spacing w:after="120" w:line="276"/>
        <w:jc w:val="both"/>
      </w:pPr>
      <w:r>
        <w:rPr>
          <w:b w:val="false"/>
          <w:bCs w:val="false"/>
        </w:rPr>
        <w:t xml:space="preserve">Sur les dix premiers mois de 2026, le portefeuille progresse de </w:t>
      </w:r>
      <w:r>
        <w:rPr>
          <w:b/>
          <w:bCs/>
        </w:rPr>
        <w:t xml:space="preserve">+6,0 %</w:t>
      </w:r>
      <w:r>
        <w:rPr>
          <w:b w:val="false"/>
          <w:bCs w:val="false"/>
        </w:rPr>
        <w:t xml:space="preserve"> en euros. C'est </w:t>
      </w:r>
      <w:r>
        <w:rPr>
          <w:b/>
          <w:bCs/>
        </w:rPr>
        <w:t xml:space="preserve">+2,7 pt de plus</w:t>
      </w:r>
      <w:r>
        <w:rPr>
          <w:b w:val="false"/>
          <w:bCs w:val="false"/>
        </w:rPr>
        <w:t xml:space="preserve"> que l'objectif d'inflation (4 %/an, soit +3,3 % au prorata de la période). Dans le même temps, sa pire baisse depuis le plus haut s'est limitée à </w:t>
      </w:r>
      <w:r>
        <w:rPr>
          <w:b/>
          <w:bCs/>
        </w:rPr>
        <w:t xml:space="preserve">−3,6 %</w:t>
      </w:r>
      <w:r>
        <w:rPr>
          <w:b w:val="false"/>
          <w:bCs w:val="false"/>
        </w:rPr>
        <w:t xml:space="preserve">, à 11,4 points de la limite de perte du mandat (−15 %).</w:t>
      </w:r>
    </w:p>
    <w:p>
      <w:pPr>
        <w:spacing w:after="120" w:line="276"/>
        <w:jc w:val="both"/>
      </w:pPr>
      <w:r>
        <w:rPr>
          <w:b w:val="false"/>
          <w:bCs w:val="false"/>
        </w:rPr>
        <w:t xml:space="preserve">Autrement dit, l'année a fait travailler le portefeuille exactement comme il a été construit pour le faire : </w:t>
      </w:r>
      <w:r>
        <w:rPr>
          <w:b/>
          <w:bCs/>
        </w:rPr>
        <w:t xml:space="preserve">un moteur actions qui suffit à battre l'inflation, et un socle obligataire qui tient la perte.</w:t>
      </w:r>
      <w:r>
        <w:rPr>
          <w:b w:val="false"/>
          <w:bCs w:val="false"/>
        </w:rPr>
        <w:t xml:space="preserve"> Les actions (30 % du portefeuille) ont apporté +6,86 pt ; l'obligataire (66 %), conçu pour protéger et non pour rapporter, a coûté −0,78 pt dans une année de hausse des taux ; l'or (3 %), −0,05 pt.</w:t>
      </w:r>
    </w:p>
    <w:p>
      <w:pPr>
        <w:spacing w:after="120" w:line="276"/>
        <w:jc w:val="both"/>
      </w:pPr>
      <w:r>
        <w:rPr>
          <w:b w:val="false"/>
          <w:bCs w:val="false"/>
        </w:rPr>
        <w:t xml:space="preserve">2026 n'a pourtant pas été une année facile : un choc énergétique a ramené l'inflation, poussé la BCE à </w:t>
      </w:r>
      <w:r>
        <w:rPr>
          <w:b/>
          <w:bCs/>
        </w:rPr>
        <w:t xml:space="preserve">relever</w:t>
      </w:r>
      <w:r>
        <w:rPr>
          <w:b w:val="false"/>
          <w:bCs w:val="false"/>
        </w:rPr>
        <w:t xml:space="preserve"> ses taux et fait chuter les obligations. Le portefeuille s'en sort parce que sa sélection d'actions était du bon côté de ce choc — énergie, utilities, santé, banques — et parce qu'il </w:t>
      </w:r>
      <w:r>
        <w:rPr>
          <w:b/>
          <w:bCs/>
        </w:rPr>
        <w:t xml:space="preserve">n'a aucune exposition</w:t>
      </w:r>
      <w:r>
        <w:rPr>
          <w:b w:val="false"/>
          <w:bCs w:val="false"/>
        </w:rPr>
        <w:t xml:space="preserve"> aux deux grands perdants européens de l'année, l'automobile et le luxe. Le reste de la note explique cet enchaînement, du contexte macro jusqu'à chaque ligne.</w:t>
      </w:r>
    </w:p>
    <w:p>
      <w:pPr>
        <w:pStyle w:val="Heading1"/>
      </w:pPr>
      <w:r>
        <w:t xml:space="preserve">2. Le contexte macro de 2026</w:t>
      </w:r>
    </w:p>
    <w:p>
      <w:pPr>
        <w:spacing w:after="40" w:before="80"/>
        <w:jc w:val="center"/>
      </w:pPr>
      <w:r>
        <w:drawing>
          <wp:inline distT="0" distB="0" distL="0" distR="0">
            <wp:extent cx="584835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48350" cy="2924175"/>
                    </a:xfrm>
                    <a:prstGeom prst="rect">
                      <a:avLst/>
                    </a:prstGeom>
                  </pic:spPr>
                </pic:pic>
              </a:graphicData>
            </a:graphic>
          </wp:inline>
        </w:drawing>
      </w:r>
    </w:p>
    <w:p>
      <w:pPr>
        <w:spacing w:after="200"/>
        <w:jc w:val="center"/>
      </w:pPr>
      <w:r>
        <w:rPr>
          <w:i/>
          <w:iCs/>
          <w:color w:val="5A6069"/>
          <w:sz w:val="17"/>
          <w:szCs w:val="17"/>
        </w:rPr>
        <w:t xml:space="preserve">Pétrole Brent et or (en dollars), rebasés à 100 au 1ᵉʳ janvier 2026. Le pétrole est le fil conducteur de l'année.</w:t>
      </w:r>
    </w:p>
    <w:p>
      <w:pPr>
        <w:spacing w:after="120" w:line="276"/>
        <w:jc w:val="both"/>
      </w:pPr>
      <w:r>
        <w:rPr>
          <w:b w:val="false"/>
          <w:bCs w:val="false"/>
        </w:rPr>
        <w:t xml:space="preserve"/>
      </w:r>
      <w:r>
        <w:rPr>
          <w:b/>
          <w:bCs/>
        </w:rPr>
        <w:t xml:space="preserve">Tout part de l'énergie.</w:t>
      </w:r>
      <w:r>
        <w:rPr>
          <w:b w:val="false"/>
          <w:bCs w:val="false"/>
        </w:rPr>
        <w:t xml:space="preserve"> Un conflit au Moyen-Orient à partir de fin février a fait bondir le pétrole : le Brent termine l'année en hausse de </w:t>
      </w:r>
      <w:r>
        <w:rPr>
          <w:b/>
          <w:bCs/>
        </w:rPr>
        <w:t xml:space="preserve">81 %</w:t>
      </w:r>
      <w:r>
        <w:rPr>
          <w:b w:val="false"/>
          <w:bCs w:val="false"/>
        </w:rPr>
        <w:t xml:space="preserve">, après un pic proche de 95 % fin mars. C'est le choc dominant de 2026, et il irrigue tout le reste.</w:t>
      </w:r>
    </w:p>
    <w:p>
      <w:pPr>
        <w:spacing w:after="120" w:line="276"/>
        <w:jc w:val="both"/>
      </w:pPr>
      <w:r>
        <w:rPr>
          <w:b w:val="false"/>
          <w:bCs w:val="false"/>
        </w:rPr>
        <w:t xml:space="preserve"/>
      </w:r>
      <w:r>
        <w:rPr>
          <w:b/>
          <w:bCs/>
        </w:rPr>
        <w:t xml:space="preserve">L'inflation est revenue.</w:t>
      </w:r>
      <w:r>
        <w:rPr>
          <w:b w:val="false"/>
          <w:bCs w:val="false"/>
        </w:rPr>
        <w:t xml:space="preserve"> Sous l'effet de l'énergie, l'inflation de la zone euro est remontée à 3,3 % en août (le poste énergie bondissant de plus de 14 % sur un an). Le pouvoir d'achat redevient le vrai sujet — précisément le risque contre lequel le mandat a été calibré.</w:t>
      </w:r>
    </w:p>
    <w:p>
      <w:pPr>
        <w:spacing w:after="120" w:line="276"/>
        <w:jc w:val="both"/>
      </w:pPr>
      <w:r>
        <w:rPr>
          <w:b w:val="false"/>
          <w:bCs w:val="false"/>
        </w:rPr>
        <w:t xml:space="preserve"/>
      </w:r>
      <w:r>
        <w:rPr>
          <w:b/>
          <w:bCs/>
        </w:rPr>
        <w:t xml:space="preserve">La BCE a relevé ses taux.</w:t>
      </w:r>
      <w:r>
        <w:rPr>
          <w:b w:val="false"/>
          <w:bCs w:val="false"/>
        </w:rPr>
        <w:t xml:space="preserve"> À rebours du cycle d'assouplissement attendu en début d'année, la Banque centrale a maintenu ses taux au premier trimestre, puis les a relevés en juin et de nouveau en septembre, portant le taux de dépôt à 2,50 %. 2026 est donc une année de </w:t>
      </w:r>
      <w:r>
        <w:rPr>
          <w:b/>
          <w:bCs/>
        </w:rPr>
        <w:t xml:space="preserve">resserrement</w:t>
      </w:r>
      <w:r>
        <w:rPr>
          <w:b w:val="false"/>
          <w:bCs w:val="false"/>
        </w:rPr>
        <w:t xml:space="preserve">, pas de détente.</w:t>
      </w:r>
    </w:p>
    <w:p>
      <w:pPr>
        <w:spacing w:after="120" w:line="276"/>
        <w:jc w:val="both"/>
      </w:pPr>
      <w:r>
        <w:rPr>
          <w:b w:val="false"/>
          <w:bCs w:val="false"/>
        </w:rPr>
        <w:t xml:space="preserve"/>
      </w:r>
      <w:r>
        <w:rPr>
          <w:b/>
          <w:bCs/>
        </w:rPr>
        <w:t xml:space="preserve">Les obligations ont décroché.</w:t>
      </w:r>
      <w:r>
        <w:rPr>
          <w:b w:val="false"/>
          <w:bCs w:val="false"/>
        </w:rPr>
        <w:t xml:space="preserve"> Mécaniquement, les taux longs sont montés : le Bund allemand à 10 ans a atteint des sommets de quinze ans cet été (autour de 3,3-3,6 %) avant de se détendre vers 3,35 % fin octobre. Le stress s'est concentré sur la France, où l'écart de taux avec l'Allemagne s'est tendu autour de 170 points de base, au plus haut depuis la crise de la dette — un point d'attention pour toute poche d'État.</w:t>
      </w:r>
    </w:p>
    <w:p>
      <w:pPr>
        <w:spacing w:after="120" w:line="276"/>
        <w:jc w:val="both"/>
      </w:pPr>
      <w:r>
        <w:rPr>
          <w:b w:val="false"/>
          <w:bCs w:val="false"/>
        </w:rPr>
        <w:t xml:space="preserve"/>
      </w:r>
      <w:r>
        <w:rPr>
          <w:b/>
          <w:bCs/>
        </w:rPr>
        <w:t xml:space="preserve">Les actions, elles, ont bien tenu.</w:t>
      </w:r>
      <w:r>
        <w:rPr>
          <w:b w:val="false"/>
          <w:bCs w:val="false"/>
        </w:rPr>
        <w:t xml:space="preserve"> Malgré ce décor, le Stoxx 600 a gagné de l'ordre de 9 à 10 % et inscrit des records en août. Mais la hausse a été très inégale : les </w:t>
      </w:r>
      <w:r>
        <w:rPr>
          <w:b/>
          <w:bCs/>
        </w:rPr>
        <w:t xml:space="preserve">semi-conducteurs</w:t>
      </w:r>
      <w:r>
        <w:rPr>
          <w:b w:val="false"/>
          <w:bCs w:val="false"/>
        </w:rPr>
        <w:t xml:space="preserve"> (ASML en tête, +60 % et plus) et les </w:t>
      </w:r>
      <w:r>
        <w:rPr>
          <w:b/>
          <w:bCs/>
        </w:rPr>
        <w:t xml:space="preserve">banques</w:t>
      </w:r>
      <w:r>
        <w:rPr>
          <w:b w:val="false"/>
          <w:bCs w:val="false"/>
        </w:rPr>
        <w:t xml:space="preserve"> (+22 %, portées par des opérations de rapprochement) ont mené ; l'</w:t>
      </w:r>
      <w:r>
        <w:rPr>
          <w:b/>
          <w:bCs/>
        </w:rPr>
        <w:t xml:space="preserve">automobile</w:t>
      </w:r>
      <w:r>
        <w:rPr>
          <w:b w:val="false"/>
          <w:bCs w:val="false"/>
        </w:rPr>
        <w:t xml:space="preserve"> (−16 %) et le </w:t>
      </w:r>
      <w:r>
        <w:rPr>
          <w:b/>
          <w:bCs/>
        </w:rPr>
        <w:t xml:space="preserve">luxe</w:t>
      </w:r>
      <w:r>
        <w:rPr>
          <w:b w:val="false"/>
          <w:bCs w:val="false"/>
        </w:rPr>
        <w:t xml:space="preserve"> (demande chinoise molle) ont été les grands retardataires.</w:t>
      </w:r>
    </w:p>
    <w:p>
      <w:pPr>
        <w:spacing w:after="120" w:line="276"/>
        <w:jc w:val="both"/>
      </w:pPr>
      <w:r>
        <w:rPr>
          <w:b w:val="false"/>
          <w:bCs w:val="false"/>
        </w:rPr>
        <w:t xml:space="preserve"/>
      </w:r>
      <w:r>
        <w:rPr>
          <w:b/>
          <w:bCs/>
        </w:rPr>
        <w:t xml:space="preserve">Deux effets de change, enfin.</w:t>
      </w:r>
      <w:r>
        <w:rPr>
          <w:b w:val="false"/>
          <w:bCs w:val="false"/>
        </w:rPr>
        <w:t xml:space="preserve"> Malgré les hausses de la BCE, l'euro s'est </w:t>
      </w:r>
      <w:r>
        <w:rPr>
          <w:b/>
          <w:bCs/>
        </w:rPr>
        <w:t xml:space="preserve">affaibli</w:t>
      </w:r>
      <w:r>
        <w:rPr>
          <w:b w:val="false"/>
          <w:bCs w:val="false"/>
        </w:rPr>
        <w:t xml:space="preserve"> (−5,1 % face au dollar) — un pays importateur d'énergie voit sa monnaie souffrir d'un choc pétrolier ; à l'inverse, la couronne norvégienne, adossée au pétrole, s'est renforcée. Et l'or, valeur refuge, a flambé en début d'année (pic de +23 % en dollars fin janvier) avant de refluer : il finit </w:t>
      </w:r>
      <w:r>
        <w:rPr>
          <w:b/>
          <w:bCs/>
        </w:rPr>
        <w:t xml:space="preserve">−6,6 %</w:t>
      </w:r>
      <w:r>
        <w:rPr>
          <w:b w:val="false"/>
          <w:bCs w:val="false"/>
        </w:rPr>
        <w:t xml:space="preserve"> en dollars, mais seulement −1,6 % en euros, l'euro faible ayant amorti la baisse.</w:t>
      </w:r>
    </w:p>
    <w:p>
      <w:pPr>
        <w:pStyle w:val="Heading1"/>
      </w:pPr>
      <w:r>
        <w:t xml:space="preserve">3. L'évolution du portefeuille, mois par mois</w:t>
      </w:r>
    </w:p>
    <w:p>
      <w:pPr>
        <w:spacing w:after="40" w:before="80"/>
        <w:jc w:val="center"/>
      </w:pPr>
      <w:r>
        <w:drawing>
          <wp:inline distT="0" distB="0" distL="0" distR="0">
            <wp:extent cx="584835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48350" cy="3171825"/>
                    </a:xfrm>
                    <a:prstGeom prst="rect">
                      <a:avLst/>
                    </a:prstGeom>
                  </pic:spPr>
                </pic:pic>
              </a:graphicData>
            </a:graphic>
          </wp:inline>
        </w:drawing>
      </w:r>
    </w:p>
    <w:p>
      <w:pPr>
        <w:spacing w:after="200"/>
        <w:jc w:val="center"/>
      </w:pPr>
      <w:r>
        <w:rPr>
          <w:i/>
          <w:iCs/>
          <w:color w:val="5A6069"/>
          <w:sz w:val="17"/>
          <w:szCs w:val="17"/>
        </w:rPr>
        <w:t xml:space="preserve">Valeur du portefeuille rebasée à 100, en euros, face à l'objectif d'inflation et au plancher de perte du mandat.</w:t>
      </w:r>
    </w:p>
    <w:p>
      <w:pPr>
        <w:spacing w:after="120" w:line="276"/>
        <w:jc w:val="both"/>
      </w:pPr>
      <w:r>
        <w:rPr>
          <w:b w:val="false"/>
          <w:bCs w:val="false"/>
        </w:rPr>
        <w:t xml:space="preserve"/>
      </w:r>
      <w:r>
        <w:rPr>
          <w:b/>
          <w:bCs/>
        </w:rPr>
        <w:t xml:space="preserve">Janvier-février : une montée tranquille.</w:t>
      </w:r>
      <w:r>
        <w:rPr>
          <w:b w:val="false"/>
          <w:bCs w:val="false"/>
        </w:rPr>
        <w:t xml:space="preserve"> Le portefeuille s'apprécie doucement, porté par des actions encore calmes, pendant que l'or joue déjà les refuges dès les premières tensions.</w:t>
      </w:r>
    </w:p>
    <w:p>
      <w:pPr>
        <w:spacing w:after="120" w:line="276"/>
        <w:jc w:val="both"/>
      </w:pPr>
      <w:r>
        <w:rPr>
          <w:b w:val="false"/>
          <w:bCs w:val="false"/>
        </w:rPr>
        <w:t xml:space="preserve"/>
      </w:r>
      <w:r>
        <w:rPr>
          <w:b/>
          <w:bCs/>
        </w:rPr>
        <w:t xml:space="preserve">Fin février-mars : le seul vrai trou d'air.</w:t>
      </w:r>
      <w:r>
        <w:rPr>
          <w:b w:val="false"/>
          <w:bCs w:val="false"/>
        </w:rPr>
        <w:t xml:space="preserve"> Le choc pétrolier et la poussée des taux font plier les actions ; le point bas de l'année est touché le 27 mars, à </w:t>
      </w:r>
      <w:r>
        <w:rPr>
          <w:b/>
          <w:bCs/>
        </w:rPr>
        <w:t xml:space="preserve">−3,6 %</w:t>
      </w:r>
      <w:r>
        <w:rPr>
          <w:b w:val="false"/>
          <w:bCs w:val="false"/>
        </w:rPr>
        <w:t xml:space="preserve"> depuis le plus haut. C'est le moment révélateur : l'obligataire ne joue pas son rôle d'amortisseur habituel, car les taux montent </w:t>
      </w:r>
      <w:r>
        <w:rPr>
          <w:b/>
          <w:bCs/>
        </w:rPr>
        <w:t xml:space="preserve">en même temps</w:t>
      </w:r>
      <w:r>
        <w:rPr>
          <w:b w:val="false"/>
          <w:bCs w:val="false"/>
        </w:rPr>
        <w:t xml:space="preserve"> que les actions baissent. Et pourtant la perte reste contenue à 3,6 % — à plus de 11 points de la limite. La diversification n'a pas eu besoin des obligations ce jour-là : la modération de la poche actions a suffi.</w:t>
      </w:r>
    </w:p>
    <w:p>
      <w:pPr>
        <w:spacing w:after="120" w:line="276"/>
        <w:jc w:val="both"/>
      </w:pPr>
      <w:r>
        <w:rPr>
          <w:b w:val="false"/>
          <w:bCs w:val="false"/>
        </w:rPr>
        <w:t xml:space="preserve"/>
      </w:r>
      <w:r>
        <w:rPr>
          <w:b/>
          <w:bCs/>
        </w:rPr>
        <w:t xml:space="preserve">Avril à l'été : la reconstruction, puis les records.</w:t>
      </w:r>
      <w:r>
        <w:rPr>
          <w:b w:val="false"/>
          <w:bCs w:val="false"/>
        </w:rPr>
        <w:t xml:space="preserve"> Une fois le choc digéré, les actions repartent et ne s'arrêtent plus : semi-conducteurs, énergie, banques et utilities tirent l'indice européen vers de nouveaux sommets en août, et le portefeuille avec. L'essentiel du +6 % se construit sur cette période.</w:t>
      </w:r>
    </w:p>
    <w:p>
      <w:pPr>
        <w:spacing w:after="120" w:line="276"/>
        <w:jc w:val="both"/>
      </w:pPr>
      <w:r>
        <w:rPr>
          <w:b w:val="false"/>
          <w:bCs w:val="false"/>
        </w:rPr>
        <w:t xml:space="preserve"/>
      </w:r>
      <w:r>
        <w:rPr>
          <w:b/>
          <w:bCs/>
        </w:rPr>
        <w:t xml:space="preserve">Automne : consolidation.</w:t>
      </w:r>
      <w:r>
        <w:rPr>
          <w:b w:val="false"/>
          <w:bCs w:val="false"/>
        </w:rPr>
        <w:t xml:space="preserve"> Depuis septembre, le portefeuille oscille autour de son niveau de +6 %, l'obligataire continuant de peser légèrement tandis que les actions tiennent leurs gains. Rien de spectaculaire — ce qui, pour un mandat défensif, est une bonne nouvelle.</w:t>
      </w:r>
    </w:p>
    <w:p>
      <w:pPr>
        <w:pStyle w:val="Heading1"/>
      </w:pPr>
      <w:r>
        <w:t xml:space="preserve">4. Par catégorie d'actif</w:t>
      </w:r>
    </w:p>
    <w:p>
      <w:pPr>
        <w:spacing w:after="40" w:before="80"/>
        <w:jc w:val="center"/>
      </w:pPr>
      <w:r>
        <w:drawing>
          <wp:inline distT="0" distB="0" distL="0" distR="0">
            <wp:extent cx="584835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2924175"/>
                    </a:xfrm>
                    <a:prstGeom prst="rect">
                      <a:avLst/>
                    </a:prstGeom>
                  </pic:spPr>
                </pic:pic>
              </a:graphicData>
            </a:graphic>
          </wp:inline>
        </w:drawing>
      </w:r>
    </w:p>
    <w:p>
      <w:pPr>
        <w:spacing w:after="200"/>
        <w:jc w:val="center"/>
      </w:pPr>
      <w:r>
        <w:rPr>
          <w:i/>
          <w:iCs/>
          <w:color w:val="5A6069"/>
          <w:sz w:val="17"/>
          <w:szCs w:val="17"/>
        </w:rPr>
        <w:t xml:space="preserve">Chaque poche rebasée à 100 au 1ᵉʳ janvier. Les actions montent, l'obligataire reste plat, l'or fait un aller-retour.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600"/>
        <w:gridCol w:w="2200"/>
        <w:gridCol w:w="2200"/>
      </w:tblGrid>
      <w:tr>
        <w:trPr>
          <w:tblHeader/>
        </w:trPr>
        <w:tc>
          <w:tcPr>
            <w:tcW w:type="dxa" w:w="3360"/>
            <w:shd w:fill="14304F" w:val="clear"/>
            <w:tcMar>
              <w:top w:type="dxa" w:w="80"/>
              <w:left w:type="dxa" w:w="130"/>
              <w:bottom w:type="dxa" w:w="80"/>
              <w:right w:type="dxa" w:w="130"/>
            </w:tcMar>
          </w:tcPr>
          <w:p>
            <w:pPr>
              <w:jc w:val="left"/>
            </w:pPr>
            <w:r>
              <w:rPr>
                <w:b/>
                <w:bCs/>
                <w:color w:val="FFFFFF"/>
                <w:sz w:val="19"/>
                <w:szCs w:val="19"/>
              </w:rPr>
              <w:t xml:space="preserve">Poche</w:t>
            </w:r>
          </w:p>
        </w:tc>
        <w:tc>
          <w:tcPr>
            <w:tcW w:type="dxa" w:w="1600"/>
            <w:shd w:fill="14304F" w:val="clear"/>
            <w:tcMar>
              <w:top w:type="dxa" w:w="80"/>
              <w:left w:type="dxa" w:w="130"/>
              <w:bottom w:type="dxa" w:w="80"/>
              <w:right w:type="dxa" w:w="130"/>
            </w:tcMar>
          </w:tcPr>
          <w:p>
            <w:pPr>
              <w:jc w:val="right"/>
            </w:pPr>
            <w:r>
              <w:rPr>
                <w:b/>
                <w:bCs/>
                <w:color w:val="FFFFFF"/>
                <w:sz w:val="19"/>
                <w:szCs w:val="19"/>
              </w:rPr>
              <w:t xml:space="preserve">Poids</w:t>
            </w:r>
          </w:p>
        </w:tc>
        <w:tc>
          <w:tcPr>
            <w:tcW w:type="dxa" w:w="2200"/>
            <w:shd w:fill="14304F" w:val="clear"/>
            <w:tcMar>
              <w:top w:type="dxa" w:w="80"/>
              <w:left w:type="dxa" w:w="130"/>
              <w:bottom w:type="dxa" w:w="80"/>
              <w:right w:type="dxa" w:w="130"/>
            </w:tcMar>
          </w:tcPr>
          <w:p>
            <w:pPr>
              <w:jc w:val="right"/>
            </w:pPr>
            <w:r>
              <w:rPr>
                <w:b/>
                <w:bCs/>
                <w:color w:val="FFFFFF"/>
                <w:sz w:val="19"/>
                <w:szCs w:val="19"/>
              </w:rPr>
              <w:t xml:space="preserve">Performance</w:t>
            </w:r>
          </w:p>
        </w:tc>
        <w:tc>
          <w:tcPr>
            <w:tcW w:type="dxa" w:w="2200"/>
            <w:shd w:fill="14304F" w:val="clear"/>
            <w:tcMar>
              <w:top w:type="dxa" w:w="80"/>
              <w:left w:type="dxa" w:w="130"/>
              <w:bottom w:type="dxa" w:w="80"/>
              <w:right w:type="dxa" w:w="130"/>
            </w:tcMar>
          </w:tcPr>
          <w:p>
            <w:pPr>
              <w:jc w:val="right"/>
            </w:pPr>
            <w:r>
              <w:rPr>
                <w:b/>
                <w:bCs/>
                <w:color w:val="FFFFFF"/>
                <w:sz w:val="19"/>
                <w:szCs w:val="19"/>
              </w:rPr>
              <w:t xml:space="preserve">Contribution</w:t>
            </w:r>
          </w:p>
        </w:tc>
      </w:tr>
      <w:tr>
        <w:tc>
          <w:tcPr>
            <w:tcW w:type="dxa" w:w="3360"/>
            <w:shd w:fill="FFFFFF" w:val="clear"/>
            <w:tcMar>
              <w:top w:type="dxa" w:w="80"/>
              <w:left w:type="dxa" w:w="130"/>
              <w:bottom w:type="dxa" w:w="80"/>
              <w:right w:type="dxa" w:w="130"/>
            </w:tcMar>
          </w:tcPr>
          <w:p>
            <w:pPr>
              <w:jc w:val="left"/>
            </w:pPr>
            <w:r>
              <w:rPr>
                <w:b w:val="false"/>
                <w:bCs w:val="false"/>
                <w:sz w:val="19"/>
                <w:szCs w:val="19"/>
              </w:rPr>
              <w:t xml:space="preserve"/>
            </w:r>
            <w:r>
              <w:rPr>
                <w:b/>
                <w:bCs/>
                <w:sz w:val="19"/>
                <w:szCs w:val="19"/>
              </w:rPr>
              <w:t xml:space="preserve">Actions</w:t>
            </w:r>
            <w:r>
              <w:rPr>
                <w:b w:val="false"/>
                <w:bCs w:val="false"/>
                <w:sz w:val="19"/>
                <w:szCs w:val="19"/>
              </w:rPr>
              <w:t xml:space="preserve"/>
            </w:r>
          </w:p>
        </w:tc>
        <w:tc>
          <w:tcPr>
            <w:tcW w:type="dxa" w:w="1600"/>
            <w:shd w:fill="FFFFFF" w:val="clear"/>
            <w:tcMar>
              <w:top w:type="dxa" w:w="80"/>
              <w:left w:type="dxa" w:w="130"/>
              <w:bottom w:type="dxa" w:w="80"/>
              <w:right w:type="dxa" w:w="130"/>
            </w:tcMar>
          </w:tcPr>
          <w:p>
            <w:pPr>
              <w:jc w:val="right"/>
            </w:pPr>
            <w:r>
              <w:rPr>
                <w:b w:val="false"/>
                <w:bCs w:val="false"/>
                <w:sz w:val="19"/>
                <w:szCs w:val="19"/>
              </w:rPr>
              <w:t xml:space="preserve">30,4 %</w:t>
            </w:r>
          </w:p>
        </w:tc>
        <w:tc>
          <w:tcPr>
            <w:tcW w:type="dxa" w:w="2200"/>
            <w:shd w:fill="FFFFFF" w:val="clear"/>
            <w:tcMar>
              <w:top w:type="dxa" w:w="80"/>
              <w:left w:type="dxa" w:w="130"/>
              <w:bottom w:type="dxa" w:w="80"/>
              <w:right w:type="dxa" w:w="130"/>
            </w:tcMar>
          </w:tcPr>
          <w:p>
            <w:pPr>
              <w:jc w:val="right"/>
            </w:pPr>
            <w:r>
              <w:rPr>
                <w:b w:val="false"/>
                <w:bCs w:val="false"/>
                <w:sz w:val="19"/>
                <w:szCs w:val="19"/>
              </w:rPr>
              <w:t xml:space="preserve">+22,6 %</w:t>
            </w:r>
          </w:p>
        </w:tc>
        <w:tc>
          <w:tcPr>
            <w:tcW w:type="dxa" w:w="2200"/>
            <w:shd w:fill="FFFFFF" w:val="clear"/>
            <w:tcMar>
              <w:top w:type="dxa" w:w="80"/>
              <w:left w:type="dxa" w:w="130"/>
              <w:bottom w:type="dxa" w:w="80"/>
              <w:right w:type="dxa" w:w="130"/>
            </w:tcMar>
          </w:tcPr>
          <w:p>
            <w:pPr>
              <w:jc w:val="right"/>
            </w:pPr>
            <w:r>
              <w:rPr>
                <w:b w:val="false"/>
                <w:bCs w:val="false"/>
                <w:sz w:val="19"/>
                <w:szCs w:val="19"/>
              </w:rPr>
              <w:t xml:space="preserve"/>
            </w:r>
            <w:r>
              <w:rPr>
                <w:b/>
                <w:bCs/>
                <w:sz w:val="19"/>
                <w:szCs w:val="19"/>
              </w:rPr>
              <w:t xml:space="preserve">+6,86 pt</w:t>
            </w:r>
            <w:r>
              <w:rPr>
                <w:b w:val="false"/>
                <w:bCs w:val="false"/>
                <w:sz w:val="19"/>
                <w:szCs w:val="19"/>
              </w:rPr>
              <w:t xml:space="preserve"/>
            </w:r>
          </w:p>
        </w:tc>
      </w:tr>
      <w:tr>
        <w:tc>
          <w:tcPr>
            <w:tcW w:type="dxa" w:w="3360"/>
            <w:shd w:fill="F7F8FA" w:val="clear"/>
            <w:tcMar>
              <w:top w:type="dxa" w:w="80"/>
              <w:left w:type="dxa" w:w="130"/>
              <w:bottom w:type="dxa" w:w="80"/>
              <w:right w:type="dxa" w:w="130"/>
            </w:tcMar>
          </w:tcPr>
          <w:p>
            <w:pPr>
              <w:jc w:val="left"/>
            </w:pPr>
            <w:r>
              <w:rPr>
                <w:b w:val="false"/>
                <w:bCs w:val="false"/>
                <w:sz w:val="19"/>
                <w:szCs w:val="19"/>
              </w:rPr>
              <w:t xml:space="preserve"/>
            </w:r>
            <w:r>
              <w:rPr>
                <w:b/>
                <w:bCs/>
                <w:sz w:val="19"/>
                <w:szCs w:val="19"/>
              </w:rPr>
              <w:t xml:space="preserve">Obligataire</w:t>
            </w:r>
            <w:r>
              <w:rPr>
                <w:b w:val="false"/>
                <w:bCs w:val="false"/>
                <w:sz w:val="19"/>
                <w:szCs w:val="19"/>
              </w:rPr>
              <w:t xml:space="preserve"/>
            </w:r>
          </w:p>
        </w:tc>
        <w:tc>
          <w:tcPr>
            <w:tcW w:type="dxa" w:w="1600"/>
            <w:shd w:fill="F7F8FA" w:val="clear"/>
            <w:tcMar>
              <w:top w:type="dxa" w:w="80"/>
              <w:left w:type="dxa" w:w="130"/>
              <w:bottom w:type="dxa" w:w="80"/>
              <w:right w:type="dxa" w:w="130"/>
            </w:tcMar>
          </w:tcPr>
          <w:p>
            <w:pPr>
              <w:jc w:val="right"/>
            </w:pPr>
            <w:r>
              <w:rPr>
                <w:b w:val="false"/>
                <w:bCs w:val="false"/>
                <w:sz w:val="19"/>
                <w:szCs w:val="19"/>
              </w:rPr>
              <w:t xml:space="preserve">66,3 %</w:t>
            </w:r>
          </w:p>
        </w:tc>
        <w:tc>
          <w:tcPr>
            <w:tcW w:type="dxa" w:w="2200"/>
            <w:shd w:fill="F7F8FA" w:val="clear"/>
            <w:tcMar>
              <w:top w:type="dxa" w:w="80"/>
              <w:left w:type="dxa" w:w="130"/>
              <w:bottom w:type="dxa" w:w="80"/>
              <w:right w:type="dxa" w:w="130"/>
            </w:tcMar>
          </w:tcPr>
          <w:p>
            <w:pPr>
              <w:jc w:val="right"/>
            </w:pPr>
            <w:r>
              <w:rPr>
                <w:b w:val="false"/>
                <w:bCs w:val="false"/>
                <w:sz w:val="19"/>
                <w:szCs w:val="19"/>
              </w:rPr>
              <w:t xml:space="preserve">−1,2 %</w:t>
            </w:r>
          </w:p>
        </w:tc>
        <w:tc>
          <w:tcPr>
            <w:tcW w:type="dxa" w:w="2200"/>
            <w:shd w:fill="F7F8FA" w:val="clear"/>
            <w:tcMar>
              <w:top w:type="dxa" w:w="80"/>
              <w:left w:type="dxa" w:w="130"/>
              <w:bottom w:type="dxa" w:w="80"/>
              <w:right w:type="dxa" w:w="130"/>
            </w:tcMar>
          </w:tcPr>
          <w:p>
            <w:pPr>
              <w:jc w:val="right"/>
            </w:pPr>
            <w:r>
              <w:rPr>
                <w:b w:val="false"/>
                <w:bCs w:val="false"/>
                <w:sz w:val="19"/>
                <w:szCs w:val="19"/>
              </w:rPr>
              <w:t xml:space="preserve"/>
            </w:r>
            <w:r>
              <w:rPr>
                <w:b/>
                <w:bCs/>
                <w:sz w:val="19"/>
                <w:szCs w:val="19"/>
              </w:rPr>
              <w:t xml:space="preserve">−0,78 pt</w:t>
            </w:r>
            <w:r>
              <w:rPr>
                <w:b w:val="false"/>
                <w:bCs w:val="false"/>
                <w:sz w:val="19"/>
                <w:szCs w:val="19"/>
              </w:rPr>
              <w:t xml:space="preserve"/>
            </w:r>
          </w:p>
        </w:tc>
      </w:tr>
      <w:tr>
        <w:tc>
          <w:tcPr>
            <w:tcW w:type="dxa" w:w="3360"/>
            <w:shd w:fill="FFFFFF" w:val="clear"/>
            <w:tcMar>
              <w:top w:type="dxa" w:w="80"/>
              <w:left w:type="dxa" w:w="130"/>
              <w:bottom w:type="dxa" w:w="80"/>
              <w:right w:type="dxa" w:w="130"/>
            </w:tcMar>
          </w:tcPr>
          <w:p>
            <w:pPr>
              <w:jc w:val="left"/>
            </w:pPr>
            <w:r>
              <w:rPr>
                <w:b w:val="false"/>
                <w:bCs w:val="false"/>
                <w:sz w:val="19"/>
                <w:szCs w:val="19"/>
              </w:rPr>
              <w:t xml:space="preserve"/>
            </w:r>
            <w:r>
              <w:rPr>
                <w:b/>
                <w:bCs/>
                <w:sz w:val="19"/>
                <w:szCs w:val="19"/>
              </w:rPr>
              <w:t xml:space="preserve">Or</w:t>
            </w:r>
            <w:r>
              <w:rPr>
                <w:b w:val="false"/>
                <w:bCs w:val="false"/>
                <w:sz w:val="19"/>
                <w:szCs w:val="19"/>
              </w:rPr>
              <w:t xml:space="preserve"/>
            </w:r>
          </w:p>
        </w:tc>
        <w:tc>
          <w:tcPr>
            <w:tcW w:type="dxa" w:w="1600"/>
            <w:shd w:fill="FFFFFF" w:val="clear"/>
            <w:tcMar>
              <w:top w:type="dxa" w:w="80"/>
              <w:left w:type="dxa" w:w="130"/>
              <w:bottom w:type="dxa" w:w="80"/>
              <w:right w:type="dxa" w:w="130"/>
            </w:tcMar>
          </w:tcPr>
          <w:p>
            <w:pPr>
              <w:jc w:val="right"/>
            </w:pPr>
            <w:r>
              <w:rPr>
                <w:b w:val="false"/>
                <w:bCs w:val="false"/>
                <w:sz w:val="19"/>
                <w:szCs w:val="19"/>
              </w:rPr>
              <w:t xml:space="preserve">3,3 %</w:t>
            </w:r>
          </w:p>
        </w:tc>
        <w:tc>
          <w:tcPr>
            <w:tcW w:type="dxa" w:w="2200"/>
            <w:shd w:fill="FFFFFF" w:val="clear"/>
            <w:tcMar>
              <w:top w:type="dxa" w:w="80"/>
              <w:left w:type="dxa" w:w="130"/>
              <w:bottom w:type="dxa" w:w="80"/>
              <w:right w:type="dxa" w:w="130"/>
            </w:tcMar>
          </w:tcPr>
          <w:p>
            <w:pPr>
              <w:jc w:val="right"/>
            </w:pPr>
            <w:r>
              <w:rPr>
                <w:b w:val="false"/>
                <w:bCs w:val="false"/>
                <w:sz w:val="19"/>
                <w:szCs w:val="19"/>
              </w:rPr>
              <w:t xml:space="preserve">−1,6 %</w:t>
            </w:r>
          </w:p>
        </w:tc>
        <w:tc>
          <w:tcPr>
            <w:tcW w:type="dxa" w:w="2200"/>
            <w:shd w:fill="FFFFFF" w:val="clear"/>
            <w:tcMar>
              <w:top w:type="dxa" w:w="80"/>
              <w:left w:type="dxa" w:w="130"/>
              <w:bottom w:type="dxa" w:w="80"/>
              <w:right w:type="dxa" w:w="130"/>
            </w:tcMar>
          </w:tcPr>
          <w:p>
            <w:pPr>
              <w:jc w:val="right"/>
            </w:pPr>
            <w:r>
              <w:rPr>
                <w:b w:val="false"/>
                <w:bCs w:val="false"/>
                <w:sz w:val="19"/>
                <w:szCs w:val="19"/>
              </w:rPr>
              <w:t xml:space="preserve"/>
            </w:r>
            <w:r>
              <w:rPr>
                <w:b/>
                <w:bCs/>
                <w:sz w:val="19"/>
                <w:szCs w:val="19"/>
              </w:rPr>
              <w:t xml:space="preserve">−0,05 pt</w:t>
            </w:r>
            <w:r>
              <w:rPr>
                <w:b w:val="false"/>
                <w:bCs w:val="false"/>
                <w:sz w:val="19"/>
                <w:szCs w:val="19"/>
              </w:rPr>
              <w:t xml:space="preserve"/>
            </w:r>
          </w:p>
        </w:tc>
      </w:tr>
    </w:tbl>
    <w:p>
      <w:pPr>
        <w:spacing w:after="120"/>
      </w:pPr>
    </w:p>
    <w:p>
      <w:pPr>
        <w:spacing w:after="120" w:line="276"/>
        <w:jc w:val="both"/>
      </w:pPr>
      <w:r>
        <w:rPr>
          <w:b w:val="false"/>
          <w:bCs w:val="false"/>
        </w:rPr>
        <w:t xml:space="preserve"/>
      </w:r>
      <w:r>
        <w:rPr>
          <w:b/>
          <w:bCs/>
        </w:rPr>
        <w:t xml:space="preserve">Les actions (30,4 %) sont le moteur.</w:t>
      </w:r>
      <w:r>
        <w:rPr>
          <w:b w:val="false"/>
          <w:bCs w:val="false"/>
        </w:rPr>
        <w:t xml:space="preserve"> Elles gagnent +22,6 % sur l'année et apportent la quasi-totalité de la performance. Fait notable : elles battent nettement l'indice européen large (de l'ordre de +9 à 10 %), ce qui tient à la </w:t>
      </w:r>
      <w:r>
        <w:rPr>
          <w:b/>
          <w:bCs/>
        </w:rPr>
        <w:t xml:space="preserve">sélection</w:t>
      </w:r>
      <w:r>
        <w:rPr>
          <w:b w:val="false"/>
          <w:bCs w:val="false"/>
        </w:rPr>
        <w:t xml:space="preserve"> — le détail arrive aux sections secteurs et titres.</w:t>
      </w:r>
    </w:p>
    <w:p>
      <w:pPr>
        <w:spacing w:after="120" w:line="276"/>
        <w:jc w:val="both"/>
      </w:pPr>
      <w:r>
        <w:rPr>
          <w:b w:val="false"/>
          <w:bCs w:val="false"/>
        </w:rPr>
        <w:t xml:space="preserve"/>
      </w:r>
      <w:r>
        <w:rPr>
          <w:b/>
          <w:bCs/>
        </w:rPr>
        <w:t xml:space="preserve">L'obligataire (66,3 %) est le socle, et il a fait son travail.</w:t>
      </w:r>
      <w:r>
        <w:rPr>
          <w:b w:val="false"/>
          <w:bCs w:val="false"/>
        </w:rPr>
        <w:t xml:space="preserve"> Il recule de 1,2 % seulement, dans une année où les taux ont fortement monté. Le détail est instructif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1400"/>
        <w:gridCol w:w="1800"/>
        <w:gridCol w:w="1800"/>
      </w:tblGrid>
      <w:tr>
        <w:trPr>
          <w:tblHeader/>
        </w:trPr>
        <w:tc>
          <w:tcPr>
            <w:tcW w:type="dxa" w:w="4360"/>
            <w:shd w:fill="14304F" w:val="clear"/>
            <w:tcMar>
              <w:top w:type="dxa" w:w="80"/>
              <w:left w:type="dxa" w:w="130"/>
              <w:bottom w:type="dxa" w:w="80"/>
              <w:right w:type="dxa" w:w="130"/>
            </w:tcMar>
          </w:tcPr>
          <w:p>
            <w:pPr>
              <w:jc w:val="left"/>
            </w:pPr>
            <w:r>
              <w:rPr>
                <w:b/>
                <w:bCs/>
                <w:color w:val="FFFFFF"/>
                <w:sz w:val="19"/>
                <w:szCs w:val="19"/>
              </w:rPr>
              <w:t xml:space="preserve">Sous-poche</w:t>
            </w:r>
          </w:p>
        </w:tc>
        <w:tc>
          <w:tcPr>
            <w:tcW w:type="dxa" w:w="1400"/>
            <w:shd w:fill="14304F" w:val="clear"/>
            <w:tcMar>
              <w:top w:type="dxa" w:w="80"/>
              <w:left w:type="dxa" w:w="130"/>
              <w:bottom w:type="dxa" w:w="80"/>
              <w:right w:type="dxa" w:w="130"/>
            </w:tcMar>
          </w:tcPr>
          <w:p>
            <w:pPr>
              <w:jc w:val="right"/>
            </w:pPr>
            <w:r>
              <w:rPr>
                <w:b/>
                <w:bCs/>
                <w:color w:val="FFFFFF"/>
                <w:sz w:val="19"/>
                <w:szCs w:val="19"/>
              </w:rPr>
              <w:t xml:space="preserve">Poids</w:t>
            </w:r>
          </w:p>
        </w:tc>
        <w:tc>
          <w:tcPr>
            <w:tcW w:type="dxa" w:w="1800"/>
            <w:shd w:fill="14304F" w:val="clear"/>
            <w:tcMar>
              <w:top w:type="dxa" w:w="80"/>
              <w:left w:type="dxa" w:w="130"/>
              <w:bottom w:type="dxa" w:w="80"/>
              <w:right w:type="dxa" w:w="130"/>
            </w:tcMar>
          </w:tcPr>
          <w:p>
            <w:pPr>
              <w:jc w:val="right"/>
            </w:pPr>
            <w:r>
              <w:rPr>
                <w:b/>
                <w:bCs/>
                <w:color w:val="FFFFFF"/>
                <w:sz w:val="19"/>
                <w:szCs w:val="19"/>
              </w:rPr>
              <w:t xml:space="preserve">Performance</w:t>
            </w:r>
          </w:p>
        </w:tc>
        <w:tc>
          <w:tcPr>
            <w:tcW w:type="dxa" w:w="1800"/>
            <w:shd w:fill="14304F" w:val="clear"/>
            <w:tcMar>
              <w:top w:type="dxa" w:w="80"/>
              <w:left w:type="dxa" w:w="130"/>
              <w:bottom w:type="dxa" w:w="80"/>
              <w:right w:type="dxa" w:w="130"/>
            </w:tcMar>
          </w:tcPr>
          <w:p>
            <w:pPr>
              <w:jc w:val="right"/>
            </w:pPr>
            <w:r>
              <w:rPr>
                <w:b/>
                <w:bCs/>
                <w:color w:val="FFFFFF"/>
                <w:sz w:val="19"/>
                <w:szCs w:val="19"/>
              </w:rPr>
              <w:t xml:space="preserve">Contribution</w:t>
            </w:r>
          </w:p>
        </w:tc>
      </w:tr>
      <w:tr>
        <w:tc>
          <w:tcPr>
            <w:tcW w:type="dxa" w:w="4360"/>
            <w:shd w:fill="FFFFFF" w:val="clear"/>
            <w:tcMar>
              <w:top w:type="dxa" w:w="80"/>
              <w:left w:type="dxa" w:w="130"/>
              <w:bottom w:type="dxa" w:w="80"/>
              <w:right w:type="dxa" w:w="130"/>
            </w:tcMar>
          </w:tcPr>
          <w:p>
            <w:pPr>
              <w:jc w:val="left"/>
            </w:pPr>
            <w:r>
              <w:rPr>
                <w:b w:val="false"/>
                <w:bCs w:val="false"/>
                <w:sz w:val="19"/>
                <w:szCs w:val="19"/>
              </w:rPr>
              <w:t xml:space="preserve"/>
            </w:r>
            <w:r>
              <w:rPr>
                <w:b/>
                <w:bCs/>
                <w:sz w:val="19"/>
                <w:szCs w:val="19"/>
              </w:rPr>
              <w:t xml:space="preserve">États 2-10 ans</w:t>
            </w:r>
            <w:r>
              <w:rPr>
                <w:b w:val="false"/>
                <w:bCs w:val="false"/>
                <w:sz w:val="19"/>
                <w:szCs w:val="19"/>
              </w:rPr>
              <w:t xml:space="preserve"> (proxy 3-7 ans)</w:t>
            </w:r>
          </w:p>
        </w:tc>
        <w:tc>
          <w:tcPr>
            <w:tcW w:type="dxa" w:w="1400"/>
            <w:shd w:fill="FFFFFF" w:val="clear"/>
            <w:tcMar>
              <w:top w:type="dxa" w:w="80"/>
              <w:left w:type="dxa" w:w="130"/>
              <w:bottom w:type="dxa" w:w="80"/>
              <w:right w:type="dxa" w:w="130"/>
            </w:tcMar>
          </w:tcPr>
          <w:p>
            <w:pPr>
              <w:jc w:val="right"/>
            </w:pPr>
            <w:r>
              <w:rPr>
                <w:b w:val="false"/>
                <w:bCs w:val="false"/>
                <w:sz w:val="19"/>
                <w:szCs w:val="19"/>
              </w:rPr>
              <w:t xml:space="preserve">41,3 %</w:t>
            </w:r>
          </w:p>
        </w:tc>
        <w:tc>
          <w:tcPr>
            <w:tcW w:type="dxa" w:w="1800"/>
            <w:shd w:fill="FFFFFF" w:val="clear"/>
            <w:tcMar>
              <w:top w:type="dxa" w:w="80"/>
              <w:left w:type="dxa" w:w="130"/>
              <w:bottom w:type="dxa" w:w="80"/>
              <w:right w:type="dxa" w:w="130"/>
            </w:tcMar>
          </w:tcPr>
          <w:p>
            <w:pPr>
              <w:jc w:val="right"/>
            </w:pPr>
            <w:r>
              <w:rPr>
                <w:b w:val="false"/>
                <w:bCs w:val="false"/>
                <w:color w:val="B5302F"/>
                <w:sz w:val="19"/>
                <w:szCs w:val="19"/>
              </w:rPr>
              <w:t xml:space="preserve">−2,1 %</w:t>
            </w:r>
          </w:p>
        </w:tc>
        <w:tc>
          <w:tcPr>
            <w:tcW w:type="dxa" w:w="1800"/>
            <w:shd w:fill="FFFFFF" w:val="clear"/>
            <w:tcMar>
              <w:top w:type="dxa" w:w="80"/>
              <w:left w:type="dxa" w:w="130"/>
              <w:bottom w:type="dxa" w:w="80"/>
              <w:right w:type="dxa" w:w="130"/>
            </w:tcMar>
          </w:tcPr>
          <w:p>
            <w:pPr>
              <w:jc w:val="right"/>
            </w:pPr>
            <w:r>
              <w:rPr>
                <w:b w:val="false"/>
                <w:bCs w:val="false"/>
                <w:sz w:val="19"/>
                <w:szCs w:val="19"/>
              </w:rPr>
              <w:t xml:space="preserve">−0,88 pt</w:t>
            </w:r>
          </w:p>
        </w:tc>
      </w:tr>
      <w:tr>
        <w:tc>
          <w:tcPr>
            <w:tcW w:type="dxa" w:w="4360"/>
            <w:shd w:fill="F7F8FA" w:val="clear"/>
            <w:tcMar>
              <w:top w:type="dxa" w:w="80"/>
              <w:left w:type="dxa" w:w="130"/>
              <w:bottom w:type="dxa" w:w="80"/>
              <w:right w:type="dxa" w:w="130"/>
            </w:tcMar>
          </w:tcPr>
          <w:p>
            <w:pPr>
              <w:jc w:val="left"/>
            </w:pPr>
            <w:r>
              <w:rPr>
                <w:b w:val="false"/>
                <w:bCs w:val="false"/>
                <w:sz w:val="19"/>
                <w:szCs w:val="19"/>
              </w:rPr>
              <w:t xml:space="preserve"/>
            </w:r>
            <w:r>
              <w:rPr>
                <w:b/>
                <w:bCs/>
                <w:sz w:val="19"/>
                <w:szCs w:val="19"/>
              </w:rPr>
              <w:t xml:space="preserve">Échelle AAA 6-24 mois</w:t>
            </w:r>
            <w:r>
              <w:rPr>
                <w:b w:val="false"/>
                <w:bCs w:val="false"/>
                <w:sz w:val="19"/>
                <w:szCs w:val="19"/>
              </w:rPr>
              <w:t xml:space="preserve"> (proxy 1-3 ans)</w:t>
            </w:r>
          </w:p>
        </w:tc>
        <w:tc>
          <w:tcPr>
            <w:tcW w:type="dxa" w:w="1400"/>
            <w:shd w:fill="F7F8FA" w:val="clear"/>
            <w:tcMar>
              <w:top w:type="dxa" w:w="80"/>
              <w:left w:type="dxa" w:w="130"/>
              <w:bottom w:type="dxa" w:w="80"/>
              <w:right w:type="dxa" w:w="130"/>
            </w:tcMar>
          </w:tcPr>
          <w:p>
            <w:pPr>
              <w:jc w:val="right"/>
            </w:pPr>
            <w:r>
              <w:rPr>
                <w:b w:val="false"/>
                <w:bCs w:val="false"/>
                <w:sz w:val="19"/>
                <w:szCs w:val="19"/>
              </w:rPr>
              <w:t xml:space="preserve">10,0 %</w:t>
            </w:r>
          </w:p>
        </w:tc>
        <w:tc>
          <w:tcPr>
            <w:tcW w:type="dxa" w:w="1800"/>
            <w:shd w:fill="F7F8FA" w:val="clear"/>
            <w:tcMar>
              <w:top w:type="dxa" w:w="80"/>
              <w:left w:type="dxa" w:w="130"/>
              <w:bottom w:type="dxa" w:w="80"/>
              <w:right w:type="dxa" w:w="130"/>
            </w:tcMar>
          </w:tcPr>
          <w:p>
            <w:pPr>
              <w:jc w:val="right"/>
            </w:pPr>
            <w:r>
              <w:rPr>
                <w:b w:val="false"/>
                <w:bCs w:val="false"/>
                <w:color w:val="0A7A0A"/>
                <w:sz w:val="19"/>
                <w:szCs w:val="19"/>
              </w:rPr>
              <w:t xml:space="preserve">+0,3 %</w:t>
            </w:r>
          </w:p>
        </w:tc>
        <w:tc>
          <w:tcPr>
            <w:tcW w:type="dxa" w:w="1800"/>
            <w:shd w:fill="F7F8FA" w:val="clear"/>
            <w:tcMar>
              <w:top w:type="dxa" w:w="80"/>
              <w:left w:type="dxa" w:w="130"/>
              <w:bottom w:type="dxa" w:w="80"/>
              <w:right w:type="dxa" w:w="130"/>
            </w:tcMar>
          </w:tcPr>
          <w:p>
            <w:pPr>
              <w:jc w:val="right"/>
            </w:pPr>
            <w:r>
              <w:rPr>
                <w:b w:val="false"/>
                <w:bCs w:val="false"/>
                <w:sz w:val="19"/>
                <w:szCs w:val="19"/>
              </w:rPr>
              <w:t xml:space="preserve">≈ 0</w:t>
            </w:r>
          </w:p>
        </w:tc>
      </w:tr>
      <w:tr>
        <w:tc>
          <w:tcPr>
            <w:tcW w:type="dxa" w:w="4360"/>
            <w:shd w:fill="FFFFFF" w:val="clear"/>
            <w:tcMar>
              <w:top w:type="dxa" w:w="80"/>
              <w:left w:type="dxa" w:w="130"/>
              <w:bottom w:type="dxa" w:w="80"/>
              <w:right w:type="dxa" w:w="130"/>
            </w:tcMar>
          </w:tcPr>
          <w:p>
            <w:pPr>
              <w:jc w:val="left"/>
            </w:pPr>
            <w:r>
              <w:rPr>
                <w:b w:val="false"/>
                <w:bCs w:val="false"/>
                <w:sz w:val="19"/>
                <w:szCs w:val="19"/>
              </w:rPr>
              <w:t xml:space="preserve"/>
            </w:r>
            <w:r>
              <w:rPr>
                <w:b/>
                <w:bCs/>
                <w:sz w:val="19"/>
                <w:szCs w:val="19"/>
              </w:rPr>
              <w:t xml:space="preserve">Indexées inflation</w:t>
            </w:r>
            <w:r>
              <w:rPr>
                <w:b w:val="false"/>
                <w:bCs w:val="false"/>
                <w:sz w:val="19"/>
                <w:szCs w:val="19"/>
              </w:rPr>
              <w:t xml:space="preserve"> (IBCI)</w:t>
            </w:r>
          </w:p>
        </w:tc>
        <w:tc>
          <w:tcPr>
            <w:tcW w:type="dxa" w:w="1400"/>
            <w:shd w:fill="FFFFFF" w:val="clear"/>
            <w:tcMar>
              <w:top w:type="dxa" w:w="80"/>
              <w:left w:type="dxa" w:w="130"/>
              <w:bottom w:type="dxa" w:w="80"/>
              <w:right w:type="dxa" w:w="130"/>
            </w:tcMar>
          </w:tcPr>
          <w:p>
            <w:pPr>
              <w:jc w:val="right"/>
            </w:pPr>
            <w:r>
              <w:rPr>
                <w:b w:val="false"/>
                <w:bCs w:val="false"/>
                <w:sz w:val="19"/>
                <w:szCs w:val="19"/>
              </w:rPr>
              <w:t xml:space="preserve">15,0 %</w:t>
            </w:r>
          </w:p>
        </w:tc>
        <w:tc>
          <w:tcPr>
            <w:tcW w:type="dxa" w:w="1800"/>
            <w:shd w:fill="FFFFFF" w:val="clear"/>
            <w:tcMar>
              <w:top w:type="dxa" w:w="80"/>
              <w:left w:type="dxa" w:w="130"/>
              <w:bottom w:type="dxa" w:w="80"/>
              <w:right w:type="dxa" w:w="130"/>
            </w:tcMar>
          </w:tcPr>
          <w:p>
            <w:pPr>
              <w:jc w:val="right"/>
            </w:pPr>
            <w:r>
              <w:rPr>
                <w:b w:val="false"/>
                <w:bCs w:val="false"/>
                <w:color w:val="0A7A0A"/>
                <w:sz w:val="19"/>
                <w:szCs w:val="19"/>
              </w:rPr>
              <w:t xml:space="preserve">+0,5 %</w:t>
            </w:r>
          </w:p>
        </w:tc>
        <w:tc>
          <w:tcPr>
            <w:tcW w:type="dxa" w:w="1800"/>
            <w:shd w:fill="FFFFFF" w:val="clear"/>
            <w:tcMar>
              <w:top w:type="dxa" w:w="80"/>
              <w:left w:type="dxa" w:w="130"/>
              <w:bottom w:type="dxa" w:w="80"/>
              <w:right w:type="dxa" w:w="130"/>
            </w:tcMar>
          </w:tcPr>
          <w:p>
            <w:pPr>
              <w:jc w:val="right"/>
            </w:pPr>
            <w:r>
              <w:rPr>
                <w:b w:val="false"/>
                <w:bCs w:val="false"/>
                <w:sz w:val="19"/>
                <w:szCs w:val="19"/>
              </w:rPr>
              <w:t xml:space="preserve">≈ 0</w:t>
            </w:r>
          </w:p>
        </w:tc>
      </w:tr>
    </w:tbl>
    <w:p>
      <w:pPr>
        <w:spacing w:after="120"/>
      </w:pPr>
    </w:p>
    <w:p>
      <w:pPr>
        <w:spacing w:after="120" w:line="276"/>
        <w:jc w:val="both"/>
      </w:pPr>
      <w:r>
        <w:rPr>
          <w:b w:val="false"/>
          <w:bCs w:val="false"/>
        </w:rPr>
        <w:t xml:space="preserve">Toute la perte vient de la poche d'État </w:t>
      </w:r>
      <w:r>
        <w:rPr>
          <w:b/>
          <w:bCs/>
        </w:rPr>
        <w:t xml:space="preserve">longue</w:t>
      </w:r>
      <w:r>
        <w:rPr>
          <w:b w:val="false"/>
          <w:bCs w:val="false"/>
        </w:rPr>
        <w:t xml:space="preserve"> (−2,1 %) : c'est la plus sensible à la hausse des taux. En face, l'</w:t>
      </w:r>
      <w:r>
        <w:rPr>
          <w:b/>
          <w:bCs/>
        </w:rPr>
        <w:t xml:space="preserve">échelle courte AAA</w:t>
      </w:r>
      <w:r>
        <w:rPr>
          <w:b w:val="false"/>
          <w:bCs w:val="false"/>
        </w:rPr>
        <w:t xml:space="preserve"> — là où logent les 10 M€ à sortir — et les </w:t>
      </w:r>
      <w:r>
        <w:rPr>
          <w:b/>
          <w:bCs/>
        </w:rPr>
        <w:t xml:space="preserve">obligations indexées</w:t>
      </w:r>
      <w:r>
        <w:rPr>
          <w:b w:val="false"/>
          <w:bCs w:val="false"/>
        </w:rPr>
        <w:t xml:space="preserve"> sont restées positives (+0,3 % et +0,5 %). Le court terme a protégé la liquidité, et l'indexation a protégé contre l'inflation : les deux poches ont fonctionné exactement l'année où on en avait besoin.</w:t>
      </w:r>
    </w:p>
    <w:p>
      <w:pPr>
        <w:spacing w:after="120" w:line="276"/>
        <w:jc w:val="both"/>
      </w:pPr>
      <w:r>
        <w:rPr>
          <w:b w:val="false"/>
          <w:bCs w:val="false"/>
        </w:rPr>
        <w:t xml:space="preserve"/>
      </w:r>
      <w:r>
        <w:rPr>
          <w:b/>
          <w:bCs/>
        </w:rPr>
        <w:t xml:space="preserve">L'or (3,3 %) a fait un aller-retour.</w:t>
      </w:r>
      <w:r>
        <w:rPr>
          <w:b w:val="false"/>
          <w:bCs w:val="false"/>
        </w:rPr>
        <w:t xml:space="preserve"> Refuge recherché en début d'année, il a reflué ensuite pour finir −1,6 % en euros. Une assurance qui, cette année, n'aura presque rien coûté (−0,05 pt).</w:t>
      </w:r>
    </w:p>
    <w:p>
      <w:pPr>
        <w:pStyle w:val="Heading1"/>
      </w:pPr>
      <w:r>
        <w:t xml:space="preserve">5. Par secteur (le panier d'actions européen)</w:t>
      </w:r>
    </w:p>
    <w:p>
      <w:pPr>
        <w:spacing w:after="40" w:before="80"/>
        <w:jc w:val="center"/>
      </w:pPr>
      <w:r>
        <w:drawing>
          <wp:inline distT="0" distB="0" distL="0" distR="0">
            <wp:extent cx="584835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3171825"/>
                    </a:xfrm>
                    <a:prstGeom prst="rect">
                      <a:avLst/>
                    </a:prstGeom>
                  </pic:spPr>
                </pic:pic>
              </a:graphicData>
            </a:graphic>
          </wp:inline>
        </w:drawing>
      </w:r>
    </w:p>
    <w:p>
      <w:pPr>
        <w:spacing w:after="200"/>
        <w:jc w:val="center"/>
      </w:pPr>
      <w:r>
        <w:rPr>
          <w:i/>
          <w:iCs/>
          <w:color w:val="5A6069"/>
          <w:sz w:val="17"/>
          <w:szCs w:val="17"/>
        </w:rPr>
        <w:t xml:space="preserve">Contribution de chaque secteur du panier des 15 actions européennes à la performance totale, en points de %.</w:t>
      </w:r>
    </w:p>
    <w:p>
      <w:pPr>
        <w:spacing w:after="120" w:line="276"/>
        <w:jc w:val="both"/>
      </w:pPr>
      <w:r>
        <w:rPr>
          <w:b w:val="false"/>
          <w:bCs w:val="false"/>
        </w:rPr>
        <w:t xml:space="preserve">Le panier d'actions européennes a profité </w:t>
      </w:r>
      <w:r>
        <w:rPr>
          <w:b/>
          <w:bCs/>
        </w:rPr>
        <w:t xml:space="preserve">très largement</w:t>
      </w:r>
      <w:r>
        <w:rPr>
          <w:b w:val="false"/>
          <w:bCs w:val="false"/>
        </w:rPr>
        <w:t xml:space="preserve"> du décor macro. Huit secteurs sur neuf sont positifs, et le seul plat (la communication) le reste de justesse.</w:t>
      </w:r>
    </w:p>
    <w:p>
      <w:pPr>
        <w:spacing w:after="120" w:line="276"/>
        <w:jc w:val="both"/>
      </w:pPr>
      <w:r>
        <w:rPr>
          <w:b w:val="false"/>
          <w:bCs w:val="false"/>
        </w:rPr>
        <w:t xml:space="preserve"/>
      </w:r>
      <w:r>
        <w:rPr>
          <w:b/>
          <w:bCs/>
        </w:rPr>
        <w:t xml:space="preserve">L'énergie domine</w:t>
      </w:r>
      <w:r>
        <w:rPr>
          <w:b w:val="false"/>
          <w:bCs w:val="false"/>
        </w:rPr>
        <w:t xml:space="preserve"> (+0,95 pt, +117,1 % de performance) : une seule ligne, Vår Energi, portée par le choc pétrolier. Viennent ensuite la </w:t>
      </w:r>
      <w:r>
        <w:rPr>
          <w:b/>
          <w:bCs/>
        </w:rPr>
        <w:t xml:space="preserve">santé</w:t>
      </w:r>
      <w:r>
        <w:rPr>
          <w:b w:val="false"/>
          <w:bCs w:val="false"/>
        </w:rPr>
        <w:t xml:space="preserve"> (+0,57 pt), tirée par Orion, les </w:t>
      </w:r>
      <w:r>
        <w:rPr>
          <w:b/>
          <w:bCs/>
        </w:rPr>
        <w:t xml:space="preserve">services aux collectivités</w:t>
      </w:r>
      <w:r>
        <w:rPr>
          <w:b w:val="false"/>
          <w:bCs w:val="false"/>
        </w:rPr>
        <w:t xml:space="preserve"> (+0,55 pt) — des utilities ibériques directement sensibles au prix de l'énergie — l'</w:t>
      </w:r>
      <w:r>
        <w:rPr>
          <w:b/>
          <w:bCs/>
        </w:rPr>
        <w:t xml:space="preserve">industrie</w:t>
      </w:r>
      <w:r>
        <w:rPr>
          <w:b w:val="false"/>
          <w:bCs w:val="false"/>
        </w:rPr>
        <w:t xml:space="preserve"> (+0,51 pt) et la </w:t>
      </w:r>
      <w:r>
        <w:rPr>
          <w:b/>
          <w:bCs/>
        </w:rPr>
        <w:t xml:space="preserve">finance</w:t>
      </w:r>
      <w:r>
        <w:rPr>
          <w:b w:val="false"/>
          <w:bCs w:val="false"/>
        </w:rPr>
        <w:t xml:space="preserve"> (+0,48 pt), au cœur de la revalorisation des banques et assureurs européens.</w:t>
      </w:r>
    </w:p>
    <w:p>
      <w:pPr>
        <w:spacing w:after="120" w:line="276"/>
        <w:jc w:val="both"/>
      </w:pPr>
      <w:r>
        <w:rPr>
          <w:b w:val="false"/>
          <w:bCs w:val="false"/>
        </w:rPr>
        <w:t xml:space="preserve">La </w:t>
      </w:r>
      <w:r>
        <w:rPr>
          <w:b/>
          <w:bCs/>
        </w:rPr>
        <w:t xml:space="preserve">technologie</w:t>
      </w:r>
      <w:r>
        <w:rPr>
          <w:b w:val="false"/>
          <w:bCs w:val="false"/>
        </w:rPr>
        <w:t xml:space="preserve"> (+0,42 pt, +51,3 %) n'est « que » sixième en contribution malgré la très forte hausse d'ASML, parce qu'elle ne pèse qu'une ligne. La </w:t>
      </w:r>
      <w:r>
        <w:rPr>
          <w:b/>
          <w:bCs/>
        </w:rPr>
        <w:t xml:space="preserve">consommation</w:t>
      </w:r>
      <w:r>
        <w:rPr>
          <w:b w:val="false"/>
          <w:bCs w:val="false"/>
        </w:rPr>
        <w:t xml:space="preserve"> (cyclique +0,37 pt et défensive +0,28 pt) complète le tableau. Seule la </w:t>
      </w:r>
      <w:r>
        <w:rPr>
          <w:b/>
          <w:bCs/>
        </w:rPr>
        <w:t xml:space="preserve">communication</w:t>
      </w:r>
      <w:r>
        <w:rPr>
          <w:b w:val="false"/>
          <w:bCs w:val="false"/>
        </w:rPr>
        <w:t xml:space="preserve"> (−0,03 pt) est neutre : la baisse d'Airtel Africa y annule le gain de Publicis.</w:t>
      </w:r>
    </w:p>
    <w:p>
      <w:pPr>
        <w:spacing w:after="120" w:line="276"/>
        <w:jc w:val="both"/>
      </w:pPr>
      <w:r>
        <w:rPr>
          <w:b w:val="false"/>
          <w:bCs w:val="false"/>
        </w:rPr>
        <w:t xml:space="preserve"/>
      </w:r>
      <w:r>
        <w:rPr>
          <w:b/>
          <w:bCs/>
        </w:rPr>
        <w:t xml:space="preserve">L'enseignement est double.</w:t>
      </w:r>
      <w:r>
        <w:rPr>
          <w:b w:val="false"/>
          <w:bCs w:val="false"/>
        </w:rPr>
        <w:t xml:space="preserve"> D'abord, la performance est </w:t>
      </w:r>
      <w:r>
        <w:rPr>
          <w:b/>
          <w:bCs/>
        </w:rPr>
        <w:t xml:space="preserve">large</w:t>
      </w:r>
      <w:r>
        <w:rPr>
          <w:b w:val="false"/>
          <w:bCs w:val="false"/>
        </w:rPr>
        <w:t xml:space="preserve">, pas concentrée sur un pari sectoriel. Ensuite — et c'est au moins aussi important — le panier </w:t>
      </w:r>
      <w:r>
        <w:rPr>
          <w:b/>
          <w:bCs/>
        </w:rPr>
        <w:t xml:space="preserve">ne contient ni automobile ni luxe</w:t>
      </w:r>
      <w:r>
        <w:rPr>
          <w:b w:val="false"/>
          <w:bCs w:val="false"/>
        </w:rPr>
        <w:t xml:space="preserve">, les deux secteurs qui ont fait perdre de l'argent en Europe cette année. Ce qui n'est pas là compte autant que ce qui y est.</w:t>
      </w:r>
    </w:p>
    <w:p>
      <w:pPr>
        <w:pStyle w:val="Heading1"/>
      </w:pPr>
      <w:r>
        <w:t xml:space="preserve">6. Par titre</w:t>
      </w:r>
    </w:p>
    <w:p>
      <w:pPr>
        <w:spacing w:after="40" w:before="80"/>
        <w:jc w:val="center"/>
      </w:pPr>
      <w:r>
        <w:drawing>
          <wp:inline distT="0" distB="0" distL="0" distR="0">
            <wp:extent cx="5334000"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210050"/>
                    </a:xfrm>
                    <a:prstGeom prst="rect">
                      <a:avLst/>
                    </a:prstGeom>
                  </pic:spPr>
                </pic:pic>
              </a:graphicData>
            </a:graphic>
          </wp:inline>
        </w:drawing>
      </w:r>
    </w:p>
    <w:p>
      <w:pPr>
        <w:spacing w:after="200"/>
        <w:jc w:val="center"/>
      </w:pPr>
      <w:r>
        <w:rPr>
          <w:i/>
          <w:iCs/>
          <w:color w:val="5A6069"/>
          <w:sz w:val="17"/>
          <w:szCs w:val="17"/>
        </w:rPr>
        <w:t xml:space="preserve">Contribution de chaque ligne à la performance 2026, en points de %. Vert : apport positif ; rouge : négatif.</w:t>
      </w:r>
    </w:p>
    <w:p>
      <w:pPr>
        <w:spacing w:after="120" w:line="276"/>
        <w:jc w:val="both"/>
      </w:pPr>
      <w:r>
        <w:rPr>
          <w:b w:val="false"/>
          <w:bCs w:val="false"/>
        </w:rPr>
        <w:t xml:space="preserve"/>
      </w:r>
      <w:r>
        <w:rPr>
          <w:b/>
          <w:bCs/>
        </w:rPr>
        <w:t xml:space="preserve">Les locomotives.</w:t>
      </w:r>
      <w:r>
        <w:rPr>
          <w:b w:val="false"/>
          <w:bCs w:val="false"/>
        </w:rPr>
        <w:t xml:space="preserve"> </w:t>
      </w:r>
      <w:r>
        <w:rPr>
          <w:b/>
          <w:bCs/>
        </w:rPr>
        <w:t xml:space="preserve">Vår Energi</w:t>
      </w:r>
      <w:r>
        <w:rPr>
          <w:b w:val="false"/>
          <w:bCs w:val="false"/>
        </w:rPr>
        <w:t xml:space="preserve"> (+117,1 % en euros) signe la plus forte hausse : production et dividendes solides, prix du pétrole élevé, et une couronne norvégienne qui ajoute au gain en euros. </w:t>
      </w:r>
      <w:r>
        <w:rPr>
          <w:b/>
          <w:bCs/>
        </w:rPr>
        <w:t xml:space="preserve">Orion</w:t>
      </w:r>
      <w:r>
        <w:rPr>
          <w:b w:val="false"/>
          <w:bCs w:val="false"/>
        </w:rPr>
        <w:t xml:space="preserve"> (+58,8 %) profite de la montée en puissance de son traitement du cancer de la prostate (Nubeqa, avec Bayer). </w:t>
      </w:r>
      <w:r>
        <w:rPr>
          <w:b/>
          <w:bCs/>
        </w:rPr>
        <w:t xml:space="preserve">ASML</w:t>
      </w:r>
      <w:r>
        <w:rPr>
          <w:b w:val="false"/>
          <w:bCs w:val="false"/>
        </w:rPr>
        <w:t xml:space="preserve"> (+51,3 %), seul fabricant au monde des machines de lithographie EUV, reste le pur-sang du cycle des semi-conducteurs. Derrière, </w:t>
      </w:r>
      <w:r>
        <w:rPr>
          <w:b/>
          <w:bCs/>
        </w:rPr>
        <w:t xml:space="preserve">Endesa</w:t>
      </w:r>
      <w:r>
        <w:rPr>
          <w:b w:val="false"/>
          <w:bCs w:val="false"/>
        </w:rPr>
        <w:t xml:space="preserve"> (+46,4 %) et </w:t>
      </w:r>
      <w:r>
        <w:rPr>
          <w:b/>
          <w:bCs/>
        </w:rPr>
        <w:t xml:space="preserve">Naturgy</w:t>
      </w:r>
      <w:r>
        <w:rPr>
          <w:b w:val="false"/>
          <w:bCs w:val="false"/>
        </w:rPr>
        <w:t xml:space="preserve"> (+21,3 %) — utilities ibériques — , </w:t>
      </w:r>
      <w:r>
        <w:rPr>
          <w:b/>
          <w:bCs/>
        </w:rPr>
        <w:t xml:space="preserve">Diploma</w:t>
      </w:r>
      <w:r>
        <w:rPr>
          <w:b w:val="false"/>
          <w:bCs w:val="false"/>
        </w:rPr>
        <w:t xml:space="preserve"> (+43,2 %), </w:t>
      </w:r>
      <w:r>
        <w:rPr>
          <w:b/>
          <w:bCs/>
        </w:rPr>
        <w:t xml:space="preserve">AB InBev</w:t>
      </w:r>
      <w:r>
        <w:rPr>
          <w:b w:val="false"/>
          <w:bCs w:val="false"/>
        </w:rPr>
        <w:t xml:space="preserve"> (+34,4 %), </w:t>
      </w:r>
      <w:r>
        <w:rPr>
          <w:b/>
          <w:bCs/>
        </w:rPr>
        <w:t xml:space="preserve">BAWAG</w:t>
      </w:r>
      <w:r>
        <w:rPr>
          <w:b w:val="false"/>
          <w:bCs w:val="false"/>
        </w:rPr>
        <w:t xml:space="preserve"> (+30,6 %), </w:t>
      </w:r>
      <w:r>
        <w:rPr>
          <w:b/>
          <w:bCs/>
        </w:rPr>
        <w:t xml:space="preserve">Unipol</w:t>
      </w:r>
      <w:r>
        <w:rPr>
          <w:b w:val="false"/>
          <w:bCs w:val="false"/>
        </w:rPr>
        <w:t xml:space="preserve"> (+28,5 %) et </w:t>
      </w:r>
      <w:r>
        <w:rPr>
          <w:b/>
          <w:bCs/>
        </w:rPr>
        <w:t xml:space="preserve">InterContinental</w:t>
      </w:r>
      <w:r>
        <w:rPr>
          <w:b w:val="false"/>
          <w:bCs w:val="false"/>
        </w:rPr>
        <w:t xml:space="preserve"> (+27,9 %) alignent des hausses de 25 à 50 %.</w:t>
      </w:r>
    </w:p>
    <w:p>
      <w:pPr>
        <w:spacing w:after="120" w:line="276"/>
        <w:jc w:val="both"/>
      </w:pPr>
      <w:r>
        <w:rPr>
          <w:b w:val="false"/>
          <w:bCs w:val="false"/>
        </w:rPr>
        <w:t xml:space="preserve"/>
      </w:r>
      <w:r>
        <w:rPr>
          <w:b/>
          <w:bCs/>
        </w:rPr>
        <w:t xml:space="preserve">Le peloton.</w:t>
      </w:r>
      <w:r>
        <w:rPr>
          <w:b w:val="false"/>
          <w:bCs w:val="false"/>
        </w:rPr>
        <w:t xml:space="preserve"> </w:t>
      </w:r>
      <w:r>
        <w:rPr>
          <w:b/>
          <w:bCs/>
        </w:rPr>
        <w:t xml:space="preserve">Aena</w:t>
      </w:r>
      <w:r>
        <w:rPr>
          <w:b w:val="false"/>
          <w:bCs w:val="false"/>
        </w:rPr>
        <w:t xml:space="preserve"> (+19,6 %), </w:t>
      </w:r>
      <w:r>
        <w:rPr>
          <w:b/>
          <w:bCs/>
        </w:rPr>
        <w:t xml:space="preserve">Publicis</w:t>
      </w:r>
      <w:r>
        <w:rPr>
          <w:b w:val="false"/>
          <w:bCs w:val="false"/>
        </w:rPr>
        <w:t xml:space="preserve"> (+18,3 %), </w:t>
      </w:r>
      <w:r>
        <w:rPr>
          <w:b/>
          <w:bCs/>
        </w:rPr>
        <w:t xml:space="preserve">Next</w:t>
      </w:r>
      <w:r>
        <w:rPr>
          <w:b w:val="false"/>
          <w:bCs w:val="false"/>
        </w:rPr>
        <w:t xml:space="preserve"> (+17,9 %) et </w:t>
      </w:r>
      <w:r>
        <w:rPr>
          <w:b/>
          <w:bCs/>
        </w:rPr>
        <w:t xml:space="preserve">Argenx</w:t>
      </w:r>
      <w:r>
        <w:rPr>
          <w:b w:val="false"/>
          <w:bCs w:val="false"/>
        </w:rPr>
        <w:t xml:space="preserve"> (+11,2 %) progressent plus sagement, entre 11 et 20 % — des hausses honorables qui, sans faire les gros titres, ajoutent à l'ensemble.</w:t>
      </w:r>
    </w:p>
    <w:p>
      <w:pPr>
        <w:spacing w:after="120" w:line="276"/>
        <w:jc w:val="both"/>
      </w:pPr>
      <w:r>
        <w:rPr>
          <w:b w:val="false"/>
          <w:bCs w:val="false"/>
        </w:rPr>
        <w:t xml:space="preserve"/>
      </w:r>
      <w:r>
        <w:rPr>
          <w:b/>
          <w:bCs/>
        </w:rPr>
        <w:t xml:space="preserve">Le seul perdant.</w:t>
      </w:r>
      <w:r>
        <w:rPr>
          <w:b w:val="false"/>
          <w:bCs w:val="false"/>
        </w:rPr>
        <w:t xml:space="preserve"> </w:t>
      </w:r>
      <w:r>
        <w:rPr>
          <w:b/>
          <w:bCs/>
        </w:rPr>
        <w:t xml:space="preserve">Airtel Africa</w:t>
      </w:r>
      <w:r>
        <w:rPr>
          <w:b w:val="false"/>
          <w:bCs w:val="false"/>
        </w:rPr>
        <w:t xml:space="preserve"> cède 21,5 %, pénalisée par la rotation hors des valeurs exposées aux marchés émergents et par les devises africaines, malgré de bons résultats opérationnels. Mais comme chaque titre pèse le même poids (environ 0,8 % du patrimoine), l'impact se limite à −0,17 pt : </w:t>
      </w:r>
      <w:r>
        <w:rPr>
          <w:b/>
          <w:bCs/>
        </w:rPr>
        <w:t xml:space="preserve">l'équipondération a transformé une mauvaise nouvelle en détail.</w:t>
      </w:r>
      <w:r>
        <w:rPr>
          <w:b w:val="false"/>
          <w:bCs w:val="false"/>
        </w:rPr>
        <w:t xml:space="preserve"> C'est le même mécanisme qui empêche Vår Energi, à l'autre extrême, de transformer le portefeuille en pari énergie.</w:t>
      </w:r>
    </w:p>
    <w:p>
      <w:pPr>
        <w:spacing w:after="120" w:line="276"/>
        <w:jc w:val="both"/>
      </w:pPr>
      <w:r>
        <w:rPr>
          <w:b w:val="false"/>
          <w:bCs w:val="false"/>
        </w:rPr>
        <w:t xml:space="preserve"/>
      </w:r>
      <w:r>
        <w:rPr>
          <w:b/>
          <w:bCs/>
        </w:rPr>
        <w:t xml:space="preserve">Les trois zones géographiques, enfin</w:t>
      </w:r>
      <w:r>
        <w:rPr>
          <w:b w:val="false"/>
          <w:bCs w:val="false"/>
        </w:rPr>
        <w:t xml:space="preserve">, complètent les actions européennes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600"/>
        <w:gridCol w:w="2400"/>
      </w:tblGrid>
      <w:tr>
        <w:trPr>
          <w:tblHeader/>
        </w:trPr>
        <w:tc>
          <w:tcPr>
            <w:tcW w:type="dxa" w:w="4360"/>
            <w:shd w:fill="14304F" w:val="clear"/>
            <w:tcMar>
              <w:top w:type="dxa" w:w="80"/>
              <w:left w:type="dxa" w:w="130"/>
              <w:bottom w:type="dxa" w:w="80"/>
              <w:right w:type="dxa" w:w="130"/>
            </w:tcMar>
          </w:tcPr>
          <w:p>
            <w:pPr>
              <w:jc w:val="left"/>
            </w:pPr>
            <w:r>
              <w:rPr>
                <w:b/>
                <w:bCs/>
                <w:color w:val="FFFFFF"/>
                <w:sz w:val="19"/>
                <w:szCs w:val="19"/>
              </w:rPr>
              <w:t xml:space="preserve">Zone (ETF)</w:t>
            </w:r>
          </w:p>
        </w:tc>
        <w:tc>
          <w:tcPr>
            <w:tcW w:type="dxa" w:w="2600"/>
            <w:shd w:fill="14304F" w:val="clear"/>
            <w:tcMar>
              <w:top w:type="dxa" w:w="80"/>
              <w:left w:type="dxa" w:w="130"/>
              <w:bottom w:type="dxa" w:w="80"/>
              <w:right w:type="dxa" w:w="130"/>
            </w:tcMar>
          </w:tcPr>
          <w:p>
            <w:pPr>
              <w:jc w:val="right"/>
            </w:pPr>
            <w:r>
              <w:rPr>
                <w:b/>
                <w:bCs/>
                <w:color w:val="FFFFFF"/>
                <w:sz w:val="19"/>
                <w:szCs w:val="19"/>
              </w:rPr>
              <w:t xml:space="preserve">Performance 2026</w:t>
            </w:r>
          </w:p>
        </w:tc>
        <w:tc>
          <w:tcPr>
            <w:tcW w:type="dxa" w:w="2400"/>
            <w:shd w:fill="14304F" w:val="clear"/>
            <w:tcMar>
              <w:top w:type="dxa" w:w="80"/>
              <w:left w:type="dxa" w:w="130"/>
              <w:bottom w:type="dxa" w:w="80"/>
              <w:right w:type="dxa" w:w="130"/>
            </w:tcMar>
          </w:tcPr>
          <w:p>
            <w:pPr>
              <w:jc w:val="right"/>
            </w:pPr>
            <w:r>
              <w:rPr>
                <w:b/>
                <w:bCs/>
                <w:color w:val="FFFFFF"/>
                <w:sz w:val="19"/>
                <w:szCs w:val="19"/>
              </w:rPr>
              <w:t xml:space="preserve">Contribution</w:t>
            </w:r>
          </w:p>
        </w:tc>
      </w:tr>
      <w:tr>
        <w:tc>
          <w:tcPr>
            <w:tcW w:type="dxa" w:w="4360"/>
            <w:shd w:fill="FFFFFF" w:val="clear"/>
            <w:tcMar>
              <w:top w:type="dxa" w:w="80"/>
              <w:left w:type="dxa" w:w="130"/>
              <w:bottom w:type="dxa" w:w="80"/>
              <w:right w:type="dxa" w:w="130"/>
            </w:tcMar>
          </w:tcPr>
          <w:p>
            <w:pPr>
              <w:jc w:val="left"/>
            </w:pPr>
            <w:r>
              <w:rPr>
                <w:b w:val="false"/>
                <w:bCs w:val="false"/>
                <w:sz w:val="19"/>
                <w:szCs w:val="19"/>
              </w:rPr>
              <w:t xml:space="preserve"/>
            </w:r>
            <w:r>
              <w:rPr>
                <w:b/>
                <w:bCs/>
                <w:sz w:val="19"/>
                <w:szCs w:val="19"/>
              </w:rPr>
              <w:t xml:space="preserve">Japon</w:t>
            </w:r>
            <w:r>
              <w:rPr>
                <w:b w:val="false"/>
                <w:bCs w:val="false"/>
                <w:sz w:val="19"/>
                <w:szCs w:val="19"/>
              </w:rPr>
              <w:t xml:space="preserve"> (XZMJ)</w:t>
            </w:r>
          </w:p>
        </w:tc>
        <w:tc>
          <w:tcPr>
            <w:tcW w:type="dxa" w:w="2600"/>
            <w:shd w:fill="FFFFFF" w:val="clear"/>
            <w:tcMar>
              <w:top w:type="dxa" w:w="80"/>
              <w:left w:type="dxa" w:w="130"/>
              <w:bottom w:type="dxa" w:w="80"/>
              <w:right w:type="dxa" w:w="130"/>
            </w:tcMar>
          </w:tcPr>
          <w:p>
            <w:pPr>
              <w:jc w:val="right"/>
            </w:pPr>
            <w:r>
              <w:rPr>
                <w:b w:val="false"/>
                <w:bCs w:val="false"/>
                <w:sz w:val="19"/>
                <w:szCs w:val="19"/>
              </w:rPr>
              <w:t xml:space="preserve">+23,7 %</w:t>
            </w:r>
          </w:p>
        </w:tc>
        <w:tc>
          <w:tcPr>
            <w:tcW w:type="dxa" w:w="2400"/>
            <w:shd w:fill="FFFFFF" w:val="clear"/>
            <w:tcMar>
              <w:top w:type="dxa" w:w="80"/>
              <w:left w:type="dxa" w:w="130"/>
              <w:bottom w:type="dxa" w:w="80"/>
              <w:right w:type="dxa" w:w="130"/>
            </w:tcMar>
          </w:tcPr>
          <w:p>
            <w:pPr>
              <w:jc w:val="right"/>
            </w:pPr>
            <w:r>
              <w:rPr>
                <w:b w:val="false"/>
                <w:bCs w:val="false"/>
                <w:color w:val="0A7A0A"/>
                <w:sz w:val="19"/>
                <w:szCs w:val="19"/>
              </w:rPr>
              <w:t xml:space="preserve">+0,72 pt</w:t>
            </w:r>
          </w:p>
        </w:tc>
      </w:tr>
      <w:tr>
        <w:tc>
          <w:tcPr>
            <w:tcW w:type="dxa" w:w="4360"/>
            <w:shd w:fill="F7F8FA" w:val="clear"/>
            <w:tcMar>
              <w:top w:type="dxa" w:w="80"/>
              <w:left w:type="dxa" w:w="130"/>
              <w:bottom w:type="dxa" w:w="80"/>
              <w:right w:type="dxa" w:w="130"/>
            </w:tcMar>
          </w:tcPr>
          <w:p>
            <w:pPr>
              <w:jc w:val="left"/>
            </w:pPr>
            <w:r>
              <w:rPr>
                <w:b w:val="false"/>
                <w:bCs w:val="false"/>
                <w:sz w:val="19"/>
                <w:szCs w:val="19"/>
              </w:rPr>
              <w:t xml:space="preserve"/>
            </w:r>
            <w:r>
              <w:rPr>
                <w:b/>
                <w:bCs/>
                <w:sz w:val="19"/>
                <w:szCs w:val="19"/>
              </w:rPr>
              <w:t xml:space="preserve">États-Unis</w:t>
            </w:r>
            <w:r>
              <w:rPr>
                <w:b w:val="false"/>
                <w:bCs w:val="false"/>
                <w:sz w:val="19"/>
                <w:szCs w:val="19"/>
              </w:rPr>
              <w:t xml:space="preserve"> (XZMU)</w:t>
            </w:r>
          </w:p>
        </w:tc>
        <w:tc>
          <w:tcPr>
            <w:tcW w:type="dxa" w:w="2600"/>
            <w:shd w:fill="F7F8FA" w:val="clear"/>
            <w:tcMar>
              <w:top w:type="dxa" w:w="80"/>
              <w:left w:type="dxa" w:w="130"/>
              <w:bottom w:type="dxa" w:w="80"/>
              <w:right w:type="dxa" w:w="130"/>
            </w:tcMar>
          </w:tcPr>
          <w:p>
            <w:pPr>
              <w:jc w:val="right"/>
            </w:pPr>
            <w:r>
              <w:rPr>
                <w:b w:val="false"/>
                <w:bCs w:val="false"/>
                <w:sz w:val="19"/>
                <w:szCs w:val="19"/>
              </w:rPr>
              <w:t xml:space="preserve">+17,3 %</w:t>
            </w:r>
          </w:p>
        </w:tc>
        <w:tc>
          <w:tcPr>
            <w:tcW w:type="dxa" w:w="2400"/>
            <w:shd w:fill="F7F8FA" w:val="clear"/>
            <w:tcMar>
              <w:top w:type="dxa" w:w="80"/>
              <w:left w:type="dxa" w:w="130"/>
              <w:bottom w:type="dxa" w:w="80"/>
              <w:right w:type="dxa" w:w="130"/>
            </w:tcMar>
          </w:tcPr>
          <w:p>
            <w:pPr>
              <w:jc w:val="right"/>
            </w:pPr>
            <w:r>
              <w:rPr>
                <w:b w:val="false"/>
                <w:bCs w:val="false"/>
                <w:color w:val="0A7A0A"/>
                <w:sz w:val="19"/>
                <w:szCs w:val="19"/>
              </w:rPr>
              <w:t xml:space="preserve">+1,84 pt</w:t>
            </w:r>
          </w:p>
        </w:tc>
      </w:tr>
      <w:tr>
        <w:tc>
          <w:tcPr>
            <w:tcW w:type="dxa" w:w="4360"/>
            <w:shd w:fill="FFFFFF" w:val="clear"/>
            <w:tcMar>
              <w:top w:type="dxa" w:w="80"/>
              <w:left w:type="dxa" w:w="130"/>
              <w:bottom w:type="dxa" w:w="80"/>
              <w:right w:type="dxa" w:w="130"/>
            </w:tcMar>
          </w:tcPr>
          <w:p>
            <w:pPr>
              <w:jc w:val="left"/>
            </w:pPr>
            <w:r>
              <w:rPr>
                <w:b w:val="false"/>
                <w:bCs w:val="false"/>
                <w:sz w:val="19"/>
                <w:szCs w:val="19"/>
              </w:rPr>
              <w:t xml:space="preserve"/>
            </w:r>
            <w:r>
              <w:rPr>
                <w:b/>
                <w:bCs/>
                <w:sz w:val="19"/>
                <w:szCs w:val="19"/>
              </w:rPr>
              <w:t xml:space="preserve">Émergents</w:t>
            </w:r>
            <w:r>
              <w:rPr>
                <w:b w:val="false"/>
                <w:bCs w:val="false"/>
                <w:sz w:val="19"/>
                <w:szCs w:val="19"/>
              </w:rPr>
              <w:t xml:space="preserve"> (XZEM)</w:t>
            </w:r>
          </w:p>
        </w:tc>
        <w:tc>
          <w:tcPr>
            <w:tcW w:type="dxa" w:w="2600"/>
            <w:shd w:fill="FFFFFF" w:val="clear"/>
            <w:tcMar>
              <w:top w:type="dxa" w:w="80"/>
              <w:left w:type="dxa" w:w="130"/>
              <w:bottom w:type="dxa" w:w="80"/>
              <w:right w:type="dxa" w:w="130"/>
            </w:tcMar>
          </w:tcPr>
          <w:p>
            <w:pPr>
              <w:jc w:val="right"/>
            </w:pPr>
            <w:r>
              <w:rPr>
                <w:b w:val="false"/>
                <w:bCs w:val="false"/>
                <w:sz w:val="19"/>
                <w:szCs w:val="19"/>
              </w:rPr>
              <w:t xml:space="preserve">+4,4 %</w:t>
            </w:r>
          </w:p>
        </w:tc>
        <w:tc>
          <w:tcPr>
            <w:tcW w:type="dxa" w:w="2400"/>
            <w:shd w:fill="FFFFFF" w:val="clear"/>
            <w:tcMar>
              <w:top w:type="dxa" w:w="80"/>
              <w:left w:type="dxa" w:w="130"/>
              <w:bottom w:type="dxa" w:w="80"/>
              <w:right w:type="dxa" w:w="130"/>
            </w:tcMar>
          </w:tcPr>
          <w:p>
            <w:pPr>
              <w:jc w:val="right"/>
            </w:pPr>
            <w:r>
              <w:rPr>
                <w:b w:val="false"/>
                <w:bCs w:val="false"/>
                <w:color w:val="0A7A0A"/>
                <w:sz w:val="19"/>
                <w:szCs w:val="19"/>
              </w:rPr>
              <w:t xml:space="preserve">+0,20 pt</w:t>
            </w:r>
          </w:p>
        </w:tc>
      </w:tr>
    </w:tbl>
    <w:p>
      <w:pPr>
        <w:spacing w:after="120"/>
      </w:pPr>
    </w:p>
    <w:p>
      <w:pPr>
        <w:spacing w:after="120" w:line="276"/>
        <w:jc w:val="both"/>
      </w:pPr>
      <w:r>
        <w:rPr>
          <w:b w:val="false"/>
          <w:bCs w:val="false"/>
        </w:rPr>
        <w:t xml:space="preserve">Le Japon (+23,7 %) et les États-Unis (+17,3 %, soutenus par un dollar plus ferme) ont bien contribué ; les émergents (+4,4 %) sont restés plus discrets.</w:t>
      </w:r>
    </w:p>
    <w:p>
      <w:pPr>
        <w:pStyle w:val="Heading1"/>
      </w:pPr>
      <w:r>
        <w:t xml:space="preserve">7. Lecture de la thèse</w:t>
      </w:r>
    </w:p>
    <w:p>
      <w:pPr>
        <w:spacing w:after="120" w:line="276"/>
        <w:jc w:val="both"/>
      </w:pPr>
      <w:r>
        <w:rPr>
          <w:b w:val="false"/>
          <w:bCs w:val="false"/>
        </w:rPr>
        <w:t xml:space="preserve">La thèse défensive du mandat </w:t>
      </w:r>
      <w:r>
        <w:rPr>
          <w:b/>
          <w:bCs/>
        </w:rPr>
        <w:t xml:space="preserve">se vérifie dans les deux sens</w:t>
      </w:r>
      <w:r>
        <w:rPr>
          <w:b w:val="false"/>
          <w:bCs w:val="false"/>
        </w:rPr>
        <w:t xml:space="preserve"> :</w:t>
      </w:r>
    </w:p>
    <w:p>
      <w:pPr>
        <w:pStyle w:val="ListParagraph"/>
        <w:numPr>
          <w:ilvl w:val="0"/>
          <w:numId w:val="2"/>
        </w:numPr>
        <w:spacing w:after="80" w:line="276"/>
      </w:pPr>
      <w:r>
        <w:rPr>
          <w:b w:val="false"/>
          <w:bCs w:val="false"/>
        </w:rPr>
        <w:t xml:space="preserve"/>
      </w:r>
      <w:r>
        <w:rPr>
          <w:b/>
          <w:bCs/>
        </w:rPr>
        <w:t xml:space="preserve">Le plancher a tenu largement.</w:t>
      </w:r>
      <w:r>
        <w:rPr>
          <w:b w:val="false"/>
          <w:bCs w:val="false"/>
        </w:rPr>
        <w:t xml:space="preserve"> La pire baisse de l'année (−3,6 %) reste à plus de 11 points de la limite de −15 %, et ce alors même que les obligations ne jouaient pas leur rôle d'amortisseur habituel. Le portefeuille n'a jamais mis le client en difficulté.</w:t>
      </w:r>
    </w:p>
    <w:p>
      <w:pPr>
        <w:pStyle w:val="ListParagraph"/>
        <w:numPr>
          <w:ilvl w:val="0"/>
          <w:numId w:val="2"/>
        </w:numPr>
        <w:spacing w:after="80" w:line="276"/>
      </w:pPr>
      <w:r>
        <w:rPr>
          <w:b w:val="false"/>
          <w:bCs w:val="false"/>
        </w:rPr>
        <w:t xml:space="preserve"/>
      </w:r>
      <w:r>
        <w:rPr>
          <w:b/>
          <w:bCs/>
        </w:rPr>
        <w:t xml:space="preserve">Le moteur a suffi.</w:t>
      </w:r>
      <w:r>
        <w:rPr>
          <w:b w:val="false"/>
          <w:bCs w:val="false"/>
        </w:rPr>
        <w:t xml:space="preserve"> +6,0 %, soit +2,7 pt au-dessus de l'inflation à battre. Dans une année où l'inflation est justement revenue, l'objectif central — préserver le pouvoir d'achat — est rempli.</w:t>
      </w:r>
    </w:p>
    <w:p>
      <w:pPr>
        <w:pStyle w:val="ListParagraph"/>
        <w:numPr>
          <w:ilvl w:val="0"/>
          <w:numId w:val="2"/>
        </w:numPr>
        <w:spacing w:after="80" w:line="276"/>
      </w:pPr>
      <w:r>
        <w:rPr>
          <w:b w:val="false"/>
          <w:bCs w:val="false"/>
        </w:rPr>
        <w:t xml:space="preserve"/>
      </w:r>
      <w:r>
        <w:rPr>
          <w:b/>
          <w:bCs/>
        </w:rPr>
        <w:t xml:space="preserve">La sélection a payé.</w:t>
      </w:r>
      <w:r>
        <w:rPr>
          <w:b w:val="false"/>
          <w:bCs w:val="false"/>
        </w:rPr>
        <w:t xml:space="preserve"> Battre l'indice européen de plus de dix points ne doit rien au hasard : c'est le fruit d'un panier bien orienté (énergie, santé, utilities, banques) et surtout </w:t>
      </w:r>
      <w:r>
        <w:rPr>
          <w:b/>
          <w:bCs/>
        </w:rPr>
        <w:t xml:space="preserve">débarrassé</w:t>
      </w:r>
      <w:r>
        <w:rPr>
          <w:b w:val="false"/>
          <w:bCs w:val="false"/>
        </w:rPr>
        <w:t xml:space="preserve"> des secteurs perdants de l'année. La diversification géographique et l'équipondération ont fait le reste.</w:t>
      </w:r>
    </w:p>
    <w:p>
      <w:pPr>
        <w:pStyle w:val="Heading1"/>
      </w:pPr>
      <w:r>
        <w:t xml:space="preserve">8. Rééquilibrage et points de vigilance</w:t>
      </w:r>
    </w:p>
    <w:p>
      <w:pPr>
        <w:pStyle w:val="ListParagraph"/>
        <w:numPr>
          <w:ilvl w:val="0"/>
          <w:numId w:val="2"/>
        </w:numPr>
        <w:spacing w:after="80" w:line="276"/>
      </w:pPr>
      <w:r>
        <w:rPr>
          <w:b w:val="false"/>
          <w:bCs w:val="false"/>
        </w:rPr>
        <w:t xml:space="preserve"/>
      </w:r>
      <w:r>
        <w:rPr>
          <w:b/>
          <w:bCs/>
        </w:rPr>
        <w:t xml:space="preserve">Dérive des poids.</w:t>
      </w:r>
      <w:r>
        <w:rPr>
          <w:b w:val="false"/>
          <w:bCs w:val="false"/>
        </w:rPr>
        <w:t xml:space="preserve"> Les actions (+22,6 %) ont monté bien plus vite que le reste ; leur part réelle a glissé au-dessus de la cible de 30,4 %. Le rééquilibrage mensuel prévu par le mandat allège les actions vers l'obligataire — c'est ce geste qui réarme la protection après une hausse.</w:t>
      </w:r>
    </w:p>
    <w:p>
      <w:pPr>
        <w:pStyle w:val="ListParagraph"/>
        <w:numPr>
          <w:ilvl w:val="0"/>
          <w:numId w:val="2"/>
        </w:numPr>
        <w:spacing w:after="80" w:line="276"/>
      </w:pPr>
      <w:r>
        <w:rPr>
          <w:b w:val="false"/>
          <w:bCs w:val="false"/>
        </w:rPr>
        <w:t xml:space="preserve"/>
      </w:r>
      <w:r>
        <w:rPr>
          <w:b/>
          <w:bCs/>
        </w:rPr>
        <w:t xml:space="preserve">L'obligataire est désormais mieux rémunéré.</w:t>
      </w:r>
      <w:r>
        <w:rPr>
          <w:b w:val="false"/>
          <w:bCs w:val="false"/>
        </w:rPr>
        <w:t xml:space="preserve"> La hausse des taux a coûté cette année, mais elle améliore le rendement attendu de la poche d'État pour la suite : on réinvestit à des taux plus élevés, et le coussin de protection est plus épais qu'en début d'année.</w:t>
      </w:r>
    </w:p>
    <w:p>
      <w:pPr>
        <w:pStyle w:val="ListParagraph"/>
        <w:numPr>
          <w:ilvl w:val="0"/>
          <w:numId w:val="2"/>
        </w:numPr>
        <w:spacing w:after="80" w:line="276"/>
      </w:pPr>
      <w:r>
        <w:rPr>
          <w:b w:val="false"/>
          <w:bCs w:val="false"/>
        </w:rPr>
        <w:t xml:space="preserve"/>
      </w:r>
      <w:r>
        <w:rPr>
          <w:b/>
          <w:bCs/>
        </w:rPr>
        <w:t xml:space="preserve">Vår Energi</w:t>
      </w:r>
      <w:r>
        <w:rPr>
          <w:b w:val="false"/>
          <w:bCs w:val="false"/>
        </w:rPr>
        <w:t xml:space="preserve"> est devenue, de loin, la plus grosse ligne du panier après son +117,1 %. Seule exposition énergie, volatile et liée au prix du pétrole : à surveiller, et le rééquilibrage du panier la ramène à sa taille.</w:t>
      </w:r>
    </w:p>
    <w:p>
      <w:pPr>
        <w:pStyle w:val="ListParagraph"/>
        <w:numPr>
          <w:ilvl w:val="0"/>
          <w:numId w:val="2"/>
        </w:numPr>
        <w:spacing w:after="80" w:line="276"/>
      </w:pPr>
      <w:r>
        <w:rPr>
          <w:b w:val="false"/>
          <w:bCs w:val="false"/>
        </w:rPr>
        <w:t xml:space="preserve"/>
      </w:r>
      <w:r>
        <w:rPr>
          <w:b/>
          <w:bCs/>
        </w:rPr>
        <w:t xml:space="preserve">La France.</w:t>
      </w:r>
      <w:r>
        <w:rPr>
          <w:b w:val="false"/>
          <w:bCs w:val="false"/>
        </w:rPr>
        <w:t xml:space="preserve"> L'écart de taux OAT-Bund au plus haut depuis la crise de la dette justifie de garder un œil sur la composition de la poche d'État et d'éviter une surpondération de la signature française.</w:t>
      </w:r>
    </w:p>
    <w:p>
      <w:pPr>
        <w:pStyle w:val="ListParagraph"/>
        <w:numPr>
          <w:ilvl w:val="0"/>
          <w:numId w:val="2"/>
        </w:numPr>
        <w:spacing w:after="80" w:line="276"/>
      </w:pPr>
      <w:r>
        <w:rPr>
          <w:b w:val="false"/>
          <w:bCs w:val="false"/>
        </w:rPr>
        <w:t xml:space="preserve"/>
      </w:r>
      <w:r>
        <w:rPr>
          <w:b/>
          <w:bCs/>
        </w:rPr>
        <w:t xml:space="preserve">Échelle AAA 6-24 mois (les 10 M€ de liquidité).</w:t>
      </w:r>
      <w:r>
        <w:rPr>
          <w:b w:val="false"/>
          <w:bCs w:val="false"/>
        </w:rPr>
        <w:t xml:space="preserve"> +0,3 % sur l'année : conforme à son rôle — préserver la somme à sortir, pas la faire travailler.</w:t>
      </w:r>
    </w:p>
    <w:p>
      <w:pPr>
        <w:pStyle w:val="Heading1"/>
      </w:pPr>
      <w:r>
        <w:t xml:space="preserve">9. Méthode et limites</w:t>
      </w:r>
    </w:p>
    <w:p>
      <w:pPr>
        <w:pStyle w:val="ListParagraph"/>
        <w:numPr>
          <w:ilvl w:val="0"/>
          <w:numId w:val="2"/>
        </w:numPr>
        <w:spacing w:after="80" w:line="276"/>
      </w:pPr>
      <w:r>
        <w:rPr>
          <w:b w:val="false"/>
          <w:bCs w:val="false"/>
        </w:rPr>
        <w:t xml:space="preserve"/>
      </w:r>
      <w:r>
        <w:rPr>
          <w:b/>
          <w:bCs/>
        </w:rPr>
        <w:t xml:space="preserve">Fenêtre :</w:t>
      </w:r>
      <w:r>
        <w:rPr>
          <w:b w:val="false"/>
          <w:bCs w:val="false"/>
        </w:rPr>
        <w:t xml:space="preserve"> 02/01/2026 → 29/10/2026 (300 jours). Cours quotidiens, dividendes réinvestis, tout converti en euros (cours de change pour les titres de Londres et d'Oslo).</w:t>
      </w:r>
    </w:p>
    <w:p>
      <w:pPr>
        <w:pStyle w:val="ListParagraph"/>
        <w:numPr>
          <w:ilvl w:val="0"/>
          <w:numId w:val="2"/>
        </w:numPr>
        <w:spacing w:after="80" w:line="276"/>
      </w:pPr>
      <w:r>
        <w:rPr>
          <w:b w:val="false"/>
          <w:bCs w:val="false"/>
        </w:rPr>
        <w:t xml:space="preserve"/>
      </w:r>
      <w:r>
        <w:rPr>
          <w:b/>
          <w:bCs/>
        </w:rPr>
        <w:t xml:space="preserve">Construction :</w:t>
      </w:r>
      <w:r>
        <w:rPr>
          <w:b w:val="false"/>
          <w:bCs w:val="false"/>
        </w:rPr>
        <w:t xml:space="preserve"> achat-conservation aux poids cibles depuis le 1ᵉʳ janvier, sans rééquilibrage dans le calcul — les poids dérivent avec les cours, comme dans la réalité entre deux rééquilibrages.</w:t>
      </w:r>
    </w:p>
    <w:p>
      <w:pPr>
        <w:pStyle w:val="ListParagraph"/>
        <w:numPr>
          <w:ilvl w:val="0"/>
          <w:numId w:val="2"/>
        </w:numPr>
        <w:spacing w:after="80" w:line="276"/>
      </w:pPr>
      <w:r>
        <w:rPr>
          <w:b w:val="false"/>
          <w:bCs w:val="false"/>
        </w:rPr>
        <w:t xml:space="preserve"/>
      </w:r>
      <w:r>
        <w:rPr>
          <w:b/>
          <w:bCs/>
        </w:rPr>
        <w:t xml:space="preserve">Obligations en direct → proxies ETF de même maturité :</w:t>
      </w:r>
      <w:r>
        <w:rPr>
          <w:b w:val="false"/>
          <w:bCs w:val="false"/>
        </w:rPr>
        <w:t xml:space="preserve"> emprunts d'État 2-10 ans représentés par un ETF d'État zone euro 3-7 ans ; échelle AAA 6-24 mois par un ETF 1-3 ans. Le proxy reproduit le comportement de la poche, pas le prix exact des titres détenus.</w:t>
      </w:r>
    </w:p>
    <w:p>
      <w:pPr>
        <w:pStyle w:val="ListParagraph"/>
        <w:numPr>
          <w:ilvl w:val="0"/>
          <w:numId w:val="2"/>
        </w:numPr>
        <w:spacing w:after="80" w:line="276"/>
      </w:pPr>
      <w:r>
        <w:rPr>
          <w:b w:val="false"/>
          <w:bCs w:val="false"/>
        </w:rPr>
        <w:t xml:space="preserve"/>
      </w:r>
      <w:r>
        <w:rPr>
          <w:b/>
          <w:bCs/>
        </w:rPr>
        <w:t xml:space="preserve">Repères macro :</w:t>
      </w:r>
      <w:r>
        <w:rPr>
          <w:b w:val="false"/>
          <w:bCs w:val="false"/>
        </w:rPr>
        <w:t xml:space="preserve"> pétrole (Brent) et or en dollars ; chiffres de la BCE, de l'inflation, des indices et des taux relevés sur sources publiques en octobre 2026. Ce sont des faits datés, non recalculés en continu.</w:t>
      </w:r>
    </w:p>
    <w:p>
      <w:pPr>
        <w:pStyle w:val="ListParagraph"/>
        <w:numPr>
          <w:ilvl w:val="0"/>
          <w:numId w:val="2"/>
        </w:numPr>
        <w:spacing w:after="80" w:line="276"/>
      </w:pPr>
      <w:r>
        <w:rPr>
          <w:b w:val="false"/>
          <w:bCs w:val="false"/>
        </w:rPr>
        <w:t xml:space="preserve"/>
      </w:r>
      <w:r>
        <w:rPr>
          <w:b/>
          <w:bCs/>
        </w:rPr>
        <w:t xml:space="preserve">Pire baisse</w:t>
      </w:r>
      <w:r>
        <w:rPr>
          <w:b w:val="false"/>
          <w:bCs w:val="false"/>
        </w:rPr>
        <w:t xml:space="preserve"> mesurée en quotidien sur l'année seulement : elle éclaire le comportement récent mais ne remplace pas le test du mandat sur 2006-2026 (−14,0 % au pire), qui reste la référence pour la limite de −15 %.</w:t>
      </w:r>
    </w:p>
    <w:p>
      <w:pPr>
        <w:pStyle w:val="ListParagraph"/>
        <w:numPr>
          <w:ilvl w:val="0"/>
          <w:numId w:val="2"/>
        </w:numPr>
        <w:spacing w:after="80" w:line="276"/>
      </w:pPr>
      <w:r>
        <w:rPr>
          <w:b w:val="false"/>
          <w:bCs w:val="false"/>
        </w:rPr>
        <w:t xml:space="preserve"/>
      </w:r>
      <w:r>
        <w:rPr>
          <w:b/>
          <w:bCs/>
        </w:rPr>
        <w:t xml:space="preserve">Rappel :</w:t>
      </w:r>
      <w:r>
        <w:rPr>
          <w:b w:val="false"/>
          <w:bCs w:val="false"/>
        </w:rPr>
        <w:t xml:space="preserve"> YTD ≠ gain réalisé — le mandat date du 24/09. Ces chiffres décrivent la sélection sur l'année, pas un relevé de compte.</w:t>
      </w:r>
    </w:p>
    <w:sectPr>
      <w:pgSz w:w="11906" w:h="16838" w:orient="portrait"/>
      <w:pgMar w:top="1100" w:right="1040" w:bottom="1100" w:left="10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50" w:before="340"/>
    </w:pPr>
    <w:rPr>
      <w:rFonts w:ascii="Calibri" w:cs="Calibri" w:eastAsia="Calibri" w:hAnsi="Calibri"/>
      <w:b/>
      <w:bCs/>
      <w:color w:val="14304F"/>
      <w:sz w:val="30"/>
      <w:szCs w:val="30"/>
    </w:rPr>
  </w:style>
  <w:style w:type="paragraph" w:styleId="Heading2">
    <w:name w:val="Heading 2"/>
    <w:basedOn w:val="Normal"/>
    <w:next w:val="Normal"/>
    <w:qFormat/>
    <w:pPr>
      <w:spacing w:after="110" w:before="260"/>
    </w:pPr>
    <w:rPr>
      <w:rFonts w:ascii="Calibri" w:cs="Calibri" w:eastAsia="Calibri" w:hAnsi="Calibri"/>
      <w:b/>
      <w:bCs/>
      <w:color w:val="14304F"/>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57896ede1fc2bc0eb9959e7c004e2aeb7dd507a.png"/><Relationship Id="rId8" Type="http://schemas.openxmlformats.org/officeDocument/2006/relationships/image" Target="media/aa14ed43795092a6a3b85f0a585ad216c9de0550.png"/><Relationship Id="rId9" Type="http://schemas.openxmlformats.org/officeDocument/2006/relationships/image" Target="media/aeb8624cee38cb101a862aa47831a2a17f99dd46.png"/><Relationship Id="rId10" Type="http://schemas.openxmlformats.org/officeDocument/2006/relationships/image" Target="media/8d416f1b875a429a8d5d1d6ee27f9432ffd4ef0f.png"/><Relationship Id="rId11" Type="http://schemas.openxmlformats.org/officeDocument/2006/relationships/image" Target="media/f399e358997c79cd0690225ede344e02ac664c0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Mandat Lauren — suivi de portefeuille 2026</dc:title>
  <dc:creator>Allan Guichard</dc:creator>
  <dc:description>Analyse YTD du portefeuille du mandat Lauren</dc:description>
  <cp:lastModifiedBy>Un-named</cp:lastModifiedBy>
  <cp:revision>1</cp:revision>
  <dcterms:created xsi:type="dcterms:W3CDTF">2026-10-29T10:31:33.109Z</dcterms:created>
  <dcterms:modified xsi:type="dcterms:W3CDTF">2026-10-29T10:31:33.110Z</dcterms:modified>
</cp:coreProperties>
</file>

<file path=docProps/custom.xml><?xml version="1.0" encoding="utf-8"?>
<Properties xmlns="http://schemas.openxmlformats.org/officeDocument/2006/custom-properties" xmlns:vt="http://schemas.openxmlformats.org/officeDocument/2006/docPropsVTypes"/>
</file>