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Bike Sales Data Analytics Report</w:t>
      </w:r>
    </w:p>
    <w:p>
      <w:pPr>
        <w:pStyle w:val="Heading1"/>
      </w:pPr>
      <w:r>
        <w:t>1. Project Overview</w:t>
      </w:r>
    </w:p>
    <w:p>
      <w:r>
        <w:t>This project focuses on analyzing bike sales data to uncover insights into customer demographics, sales performance, and profitability. The objective is to support strategic business decisions with data-driven recommendations.</w:t>
      </w:r>
    </w:p>
    <w:p>
      <w:pPr>
        <w:pStyle w:val="Heading1"/>
      </w:pPr>
      <w:r>
        <w:t>2. Dataset Summary</w:t>
      </w:r>
    </w:p>
    <w:p>
      <w:r>
        <w:t>The dataset includes variables such as customer age, income, commute distance, product details, order quantity, unit cost, unit price, and profit.</w:t>
      </w:r>
    </w:p>
    <w:p>
      <w:pPr>
        <w:pStyle w:val="Heading1"/>
      </w:pPr>
      <w:r>
        <w:t>3. Key Findings</w:t>
      </w:r>
    </w:p>
    <w:p>
      <w:pPr>
        <w:pStyle w:val="Heading2"/>
      </w:pPr>
      <w:r>
        <w:t>3.1 Customer Demographics</w:t>
      </w:r>
    </w:p>
    <w:p>
      <w:r>
        <w:t>- Adults aged 35–64 represent the largest customer group.</w:t>
        <w:br/>
        <w:t>- Higher income levels show a strong correlation with increased bike purchases.</w:t>
        <w:br/>
        <w:t>- Customers with short commute distances are more likely to purchase bikes.</w:t>
      </w:r>
    </w:p>
    <w:p>
      <w:pPr>
        <w:pStyle w:val="Heading2"/>
      </w:pPr>
      <w:r>
        <w:t>3.2 Sales Performance</w:t>
      </w:r>
    </w:p>
    <w:p>
      <w:r>
        <w:t>- North America accounts for the highest proportion of bike sales (~46%).</w:t>
        <w:br/>
        <w:t>- Pacific region shows the lowest sales share (~23%).</w:t>
        <w:br/>
        <w:t>- The “Mountain-200 Black, 46” is one of the top-selling products.</w:t>
      </w:r>
    </w:p>
    <w:p>
      <w:pPr>
        <w:pStyle w:val="Heading2"/>
      </w:pPr>
      <w:r>
        <w:t>3.3 Profitability Analysis</w:t>
      </w:r>
    </w:p>
    <w:p>
      <w:r>
        <w:t>- Average profit margin is approximately 45%.</w:t>
        <w:br/>
        <w:t>- Positive correlations observed between unit price, unit cost, and profit.</w:t>
      </w:r>
    </w:p>
    <w:p>
      <w:pPr>
        <w:pStyle w:val="Heading1"/>
      </w:pPr>
      <w:r>
        <w:t>4. Visual Insights</w:t>
      </w:r>
    </w:p>
    <w:p>
      <w:r>
        <w:t>Several visualizations including density plots, box plots, and correlation matrices were used to better understand the distribution, variability, and relationships among the variables.</w:t>
      </w:r>
    </w:p>
    <w:p>
      <w:pPr>
        <w:pStyle w:val="Heading1"/>
      </w:pPr>
      <w:r>
        <w:t>5. Strategic Recommendations</w:t>
      </w:r>
    </w:p>
    <w:p>
      <w:r>
        <w:t>- Focus marketing efforts on adults aged 35–64 with high income.</w:t>
        <w:br/>
        <w:t>- Expand product offerings for customers with longer commute distances.</w:t>
        <w:br/>
        <w:t>- Allocate more sales resources to high-performing regions like North America.</w:t>
        <w:br/>
        <w:t>- Optimize pricing strategies to maintain or improve profit margins.</w:t>
        <w:br/>
        <w:t>- Launch loyalty programs targeting the main customer segment.</w:t>
        <w:br/>
        <w:t>- Conduct further studies on low-performing regions to identify growth opportunities.</w:t>
      </w:r>
    </w:p>
    <w:p>
      <w:pPr>
        <w:pStyle w:val="Heading1"/>
      </w:pPr>
      <w:r>
        <w:t>6. Conclusion</w:t>
      </w:r>
    </w:p>
    <w:p>
      <w:r>
        <w:t>The analytics performed reveal meaningful insights that can shape the company’s marketing, product development, and pricing strategies. By acting on these findings, the company can achieve sustainable growth and increased profitability.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