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</w:pPr>
      <w:r>
        <w:rPr>
          <w:rFonts w:ascii="Calibri" w:cs="Calibri" w:eastAsia="Calibri" w:hAnsi="Calibri"/>
          <w:b/>
          <w:bCs/>
          <w:color w:val="0C3549"/>
          <w:sz w:val="48"/>
          <w:szCs w:val="48"/>
        </w:rPr>
        <w:t xml:space="preserve">Step-by-step build guide</w:t>
      </w:r>
    </w:p>
    <w:p>
      <w:pPr>
        <w:pBdr>
          <w:bottom w:val="single" w:color="2E86AB" w:sz="12"/>
        </w:pBdr>
        <w:spacing w:after="0" w:before="160"/>
      </w:pPr>
      <w:r>
        <w:t xml:space="preserve"/>
      </w:r>
    </w:p>
    <w:p>
      <w:pPr>
        <w:spacing w:after="0" w:before="240"/>
      </w:pPr>
      <w:r>
        <w:rPr>
          <w:rFonts w:ascii="Calibri" w:cs="Calibri" w:eastAsia="Calibri" w:hAnsi="Calibri"/>
          <w:color w:val="2E86AB"/>
          <w:sz w:val="26"/>
          <w:szCs w:val="26"/>
        </w:rPr>
        <w:t xml:space="preserve">Cell-Based PM Planning, Scheduling &amp; Tracking System</w:t>
      </w:r>
    </w:p>
    <w:p>
      <w:pPr>
        <w:spacing w:after="0" w:before="100"/>
      </w:pPr>
      <w:r>
        <w:rPr>
          <w:rFonts w:ascii="Calibri" w:cs="Calibri" w:eastAsia="Calibri" w:hAnsi="Calibri"/>
          <w:color w:val="6B7680"/>
          <w:sz w:val="20"/>
          <w:szCs w:val="20"/>
        </w:rPr>
        <w:t xml:space="preserve">Eaton Power Quality Pvt Ltd  ·  Pondicherry  ·  Maintenance Engineering</w:t>
      </w:r>
    </w:p>
    <w:p>
      <w:pPr>
        <w:spacing w:after="0" w:before="900"/>
      </w:pPr>
      <w:r>
        <w:rPr>
          <w:rFonts w:ascii="Calibri" w:cs="Calibri" w:eastAsia="Calibri" w:hAnsi="Calibri"/>
          <w:color w:val="1F2933"/>
          <w:sz w:val="19"/>
          <w:szCs w:val="19"/>
        </w:rPr>
        <w:t xml:space="preserve">SharePoint Online  ·  Microsoft Forms  ·  Power Automate  ·  Power BI</w:t>
      </w:r>
    </w:p>
    <w:p>
      <w:pPr>
        <w:spacing w:after="0" w:before="60"/>
      </w:pPr>
      <w:r>
        <w:rPr>
          <w:rFonts w:ascii="Calibri" w:cs="Calibri" w:eastAsia="Calibri" w:hAnsi="Calibri"/>
          <w:i/>
          <w:iCs/>
          <w:color w:val="6B7680"/>
          <w:sz w:val="19"/>
          <w:szCs w:val="19"/>
        </w:rPr>
        <w:t xml:space="preserve">No additional licence required</w:t>
      </w:r>
    </w:p>
    <w:p>
      <w:r>
        <w:br w:type="page"/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Plain English, in order, start to finish.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This is the friendly walkthrough.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IMPLEMENTATION_RUNBOOK.md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is the same journey with every technical detail — come here first, go there when you need the fine print.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You do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not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need to be a SharePoint or Power BI expert. Everything you type is written out. Where you need to click something, it says where.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0C3549"/>
          <w:sz w:val="26"/>
          <w:szCs w:val="26"/>
        </w:rPr>
        <w:t xml:space="preserve">How the pieces fit together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Before you build anything, understand what you are building. There are five parts and they connect in one direction:</w:t>
      </w:r>
    </w:p>
    <w:p>
      <w:pPr>
        <w:shd w:fill="F4F6F7" w:val="clear"/>
        <w:spacing w:after="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      ┌──────────────────────────────────────────────────┐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      │  1. SHAREPOINT  — the filing cabinet             │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      │     14 lists holding every PM record             │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      └───────────────┬──────────────────────────────────┘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                      │  everything reads and writes here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      ┌───────────────┴──────────────┬───────────────────┐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      │                              │                   │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┌───────▼─────────┐        ┌───────────▼──────┐   ┌────────▼────────┐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│ 2. QR STICKERS  │        │ 3. FORMS         │   │ 5. POWER BI     │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│ on each machine │───────▶│ what the         │   │ the dashboard   │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│ opens the       │        │ technician fills │   │ managers read   │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│ machine's page  │        │ in on his phone  │   │                 │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└─────────────────┘        └───────────┬──────┘   └────────▲────────┘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                                     │                   │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                         ┌───────────▼───────────────────┴───┐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                         │ 4. POWER AUTOMATE —  9 flows      │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                         │    the rules that run by          │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                         │    themselves: counters, triggers,│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                         │    resets, alerts                 │</w:t>
      </w:r>
    </w:p>
    <w:p>
      <w:pPr>
        <w:shd w:fill="F4F6F7" w:val="clear"/>
        <w:spacing w:after="14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                         └───────────────────────────────────┘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In one sentence: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a technician scans a sticker, fills in a form, a flow updates the filing cabinet, and the dashboard shows what it all means.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Build them in this order.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Each part needs the one before it to exist.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0C3549"/>
          <w:sz w:val="26"/>
          <w:szCs w:val="26"/>
        </w:rPr>
        <w:t xml:space="preserve">Before you start — what you need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People and access</w:t>
      </w:r>
    </w:p>
    <w:tbl>
      <w:tblPr>
        <w:tblW w:type="dxa" w:w="9746"/>
        <w:tblBorders>
          <w:top w:val="single" w:color="D9E2E6" w:sz="2"/>
          <w:left w:val="single" w:color="D9E2E6" w:sz="2"/>
          <w:bottom w:val="single" w:color="D9E2E6" w:sz="2"/>
          <w:right w:val="single" w:color="D9E2E6" w:sz="2"/>
          <w:insideH w:val="single" w:color="D9E2E6" w:sz="2"/>
          <w:insideV w:val="single" w:color="D9E2E6" w:sz="2"/>
        </w:tblBorders>
      </w:tblPr>
      <w:tblGrid>
        <w:gridCol w:w="3525"/>
        <w:gridCol w:w="6221"/>
      </w:tblGrid>
      <w:tr>
        <w:trPr>
          <w:tblHeader/>
        </w:trPr>
        <w:tc>
          <w:tcPr>
            <w:tcW w:type="dxa" w:w="3525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You need</w:t>
            </w:r>
          </w:p>
        </w:tc>
        <w:tc>
          <w:tcPr>
            <w:tcW w:type="dxa" w:w="6221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Why</w:t>
            </w:r>
          </w:p>
        </w:tc>
      </w:tr>
      <w:tr>
        <w:trPr>
          <w:tblHeader w:val="false"/>
        </w:trPr>
        <w:tc>
          <w:tcPr>
            <w:tcW w:type="dxa" w:w="352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A SharePoint site you own</w:t>
            </w:r>
          </w:p>
        </w:tc>
        <w:tc>
          <w:tcPr>
            <w:tcW w:type="dxa" w:w="622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The system creates 14 lists — do not use an existing site</w:t>
            </w:r>
          </w:p>
        </w:tc>
      </w:tr>
      <w:tr>
        <w:trPr>
          <w:tblHeader w:val="false"/>
        </w:trPr>
        <w:tc>
          <w:tcPr>
            <w:tcW w:type="dxa" w:w="352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Site Owner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permission on it</w:t>
            </w:r>
          </w:p>
        </w:tc>
        <w:tc>
          <w:tcPr>
            <w:tcW w:type="dxa" w:w="622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You cannot create lists without it</w:t>
            </w:r>
          </w:p>
        </w:tc>
      </w:tr>
      <w:tr>
        <w:trPr>
          <w:tblHeader w:val="false"/>
        </w:trPr>
        <w:tc>
          <w:tcPr>
            <w:tcW w:type="dxa" w:w="352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One M365 account to own everything</w:t>
            </w:r>
          </w:p>
        </w:tc>
        <w:tc>
          <w:tcPr>
            <w:tcW w:type="dxa" w:w="622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All 9 flows and 5 forms are built under it. </w:t>
            </w: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Decide who, now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— see §"The one thing to get right" at the end</w:t>
            </w:r>
          </w:p>
        </w:tc>
      </w:tr>
      <w:tr>
        <w:trPr>
          <w:tblHeader w:val="false"/>
        </w:trPr>
        <w:tc>
          <w:tcPr>
            <w:tcW w:type="dxa" w:w="352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Two colleagues as co-owners</w:t>
            </w:r>
          </w:p>
        </w:tc>
        <w:tc>
          <w:tcPr>
            <w:tcW w:type="dxa" w:w="622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So you are not the only person who can fix a flow</w:t>
            </w:r>
          </w:p>
        </w:tc>
      </w:tr>
      <w:tr>
        <w:trPr>
          <w:tblHeader w:val="false"/>
        </w:trPr>
        <w:tc>
          <w:tcPr>
            <w:tcW w:type="dxa" w:w="352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A shared mailbox for alerts</w:t>
            </w:r>
          </w:p>
        </w:tc>
        <w:tc>
          <w:tcPr>
            <w:tcW w:type="dxa" w:w="622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So failure emails do not go to one person's inbox</w:t>
            </w:r>
          </w:p>
        </w:tc>
      </w:tr>
      <w:tr>
        <w:trPr>
          <w:tblHeader w:val="false"/>
        </w:trPr>
        <w:tc>
          <w:tcPr>
            <w:tcW w:type="dxa" w:w="352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One Android phone</w:t>
            </w:r>
          </w:p>
        </w:tc>
        <w:tc>
          <w:tcPr>
            <w:tcW w:type="dxa" w:w="622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To test the QR stickers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Software on your laptop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Three things. Install them once.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1. PowerShell 7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this is the tool that creates the SharePoint lists for you, so you do not have to click through 138 columns by hand.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Download from Microsoft's PowerShell releases page and install. Then open it (search "PowerShell 7" in the Start menu) and paste this:</w:t>
      </w:r>
    </w:p>
    <w:p>
      <w:pPr>
        <w:shd w:fill="F4F6F7" w:val="clear"/>
        <w:spacing w:after="14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Install-Module PnP.PowerShell -Scope CurrentUser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Press Y if it asks. PnP is a free Microsoft toolkit for talking to SharePoint.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2. Python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this prepares your data and generates the QR stickers. Install from python.org,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ticking "Add Python to PATH"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during setup. Then open a Command Prompt in the project folder and run:</w:t>
      </w:r>
    </w:p>
    <w:p>
      <w:pPr>
        <w:shd w:fill="F4F6F7" w:val="clear"/>
        <w:spacing w:after="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pip install -r tools/requirements.txt</w:t>
      </w:r>
    </w:p>
    <w:p>
      <w:pPr>
        <w:shd w:fill="F4F6F7" w:val="clear"/>
        <w:spacing w:after="14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pip install -r qr/requirements.txt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3. Power BI Desktop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free from the Microsoft Store.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The project folder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Everything lives in the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pm-system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folder. Put it somewhere sensible on your laptop, like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C:\EPQPL_PM\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 All the commands below assume you have a Command Prompt or PowerShell window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open inside that folder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</w:t>
      </w:r>
    </w:p>
    <w:p>
      <w:pPr>
        <w:pBdr>
          <w:top w:val="single" w:color="FDF6E3" w:sz="6"/>
        </w:pBdr>
        <w:shd w:fill="FDF6E3" w:val="clear"/>
        <w:spacing w:after="60" w:before="140"/>
        <w:ind w:left="280" w:right="280"/>
      </w:pPr>
      <w:r>
        <w:rPr>
          <w:rFonts w:ascii="Calibri" w:cs="Calibri" w:eastAsia="Calibri" w:hAnsi="Calibri"/>
          <w:b/>
          <w:bCs/>
          <w:color w:val="8A5A00"/>
          <w:sz w:val="20"/>
          <w:szCs w:val="20"/>
        </w:rPr>
        <w:t xml:space="preserve">Tip:</w:t>
      </w:r>
      <w:r>
        <w:rPr>
          <w:rFonts w:ascii="Calibri" w:cs="Calibri" w:eastAsia="Calibri" w:hAnsi="Calibri"/>
          <w:color w:val="8A5A00"/>
          <w:sz w:val="20"/>
          <w:szCs w:val="20"/>
        </w:rPr>
        <w:t xml:space="preserve"> open the folder in File Explorer, click in the address bar, type </w:t>
      </w:r>
      <w:r>
        <w:rPr>
          <w:rFonts w:ascii="Consolas" w:cs="Consolas" w:eastAsia="Consolas" w:hAnsi="Consolas"/>
          <w:color w:val="0C3549"/>
          <w:sz w:val="18"/>
          <w:szCs w:val="18"/>
          <w:shd w:fill="F4F6F7" w:val="clear"/>
        </w:rPr>
        <w:t xml:space="preserve">cmd</w:t>
      </w:r>
    </w:p>
    <w:p>
      <w:pPr>
        <w:pBdr>
          <w:bottom w:val="single" w:color="FDF6E3" w:sz="6"/>
        </w:pBdr>
        <w:shd w:fill="FDF6E3" w:val="clear"/>
        <w:spacing w:after="18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and press Enter. That opens a Command Prompt already in the right place.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pPr>
        <w:pStyle w:val="Heading1"/>
        <w:pBdr>
          <w:bottom w:val="single" w:color="0C3549" w:sz="8"/>
        </w:pBdr>
        <w:spacing w:after="200" w:before="0"/>
      </w:pPr>
      <w:r>
        <w:rPr>
          <w:rFonts w:ascii="Calibri" w:cs="Calibri" w:eastAsia="Calibri" w:hAnsi="Calibri"/>
          <w:b/>
          <w:bCs/>
          <w:color w:val="0C3549"/>
          <w:sz w:val="34"/>
          <w:szCs w:val="34"/>
        </w:rPr>
        <w:t xml:space="preserve">Stage 1 — Check the data  ·  30 minutes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What you are doing: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turning the three Excel workbooks into clean files that SharePoint will accept, and checking nothing in them is broken.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Do this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Make sure the three workbooks and the data dictionary are in the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input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folder.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Run:</w:t>
      </w:r>
    </w:p>
    <w:p>
      <w:pPr>
        <w:shd w:fill="F4F6F7" w:val="clear"/>
        <w:spacing w:after="14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python tools/prepare_sharepoint_data.py --strict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How you know it worked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The last line says:</w:t>
      </w:r>
    </w:p>
    <w:p>
      <w:pPr>
        <w:shd w:fill="F4F6F7" w:val="clear"/>
        <w:spacing w:after="14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0 error(s), 0 warning(s).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You will also find new files in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sharepoint\data\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one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.csv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per list, plus a report.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If it goes wrong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If it says anything other than 0 errors,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stop and fix the workbook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 Open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sharepoint\data\_VALIDATION_REPORT.md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it names the exact row and what is wrong with it.</w:t>
      </w:r>
    </w:p>
    <w:p>
      <w:pPr>
        <w:pBdr>
          <w:top w:val="single" w:color="FDF6E3" w:sz="6"/>
        </w:pBdr>
        <w:shd w:fill="FDF6E3" w:val="clear"/>
        <w:spacing w:after="60" w:before="140"/>
        <w:ind w:left="280" w:right="280"/>
      </w:pPr>
      <w:r>
        <w:rPr>
          <w:rFonts w:ascii="Calibri" w:cs="Calibri" w:eastAsia="Calibri" w:hAnsi="Calibri"/>
          <w:b/>
          <w:bCs/>
          <w:color w:val="8A5A00"/>
          <w:sz w:val="20"/>
          <w:szCs w:val="20"/>
        </w:rPr>
        <w:t xml:space="preserve">Why not just skip it?</w:t>
      </w:r>
      <w:r>
        <w:rPr>
          <w:rFonts w:ascii="Calibri" w:cs="Calibri" w:eastAsia="Calibri" w:hAnsi="Calibri"/>
          <w:color w:val="8A5A00"/>
          <w:sz w:val="20"/>
          <w:szCs w:val="20"/>
        </w:rPr>
        <w:t xml:space="preserve"> Because a bad </w:t>
      </w:r>
      <w:r>
        <w:rPr>
          <w:rFonts w:ascii="Consolas" w:cs="Consolas" w:eastAsia="Consolas" w:hAnsi="Consolas"/>
          <w:color w:val="0C3549"/>
          <w:sz w:val="18"/>
          <w:szCs w:val="18"/>
          <w:shd w:fill="F4F6F7" w:val="clear"/>
        </w:rPr>
        <w:t xml:space="preserve">Cell_ID</w:t>
      </w:r>
      <w:r>
        <w:rPr>
          <w:rFonts w:ascii="Calibri" w:cs="Calibri" w:eastAsia="Calibri" w:hAnsi="Calibri"/>
          <w:color w:val="8A5A00"/>
          <w:sz w:val="20"/>
          <w:szCs w:val="20"/>
        </w:rPr>
        <w:t xml:space="preserve"> that reaches SharePoint becomes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a record that belongs to no cell. Nothing will tell you. It just quietly makes a</w:t>
      </w:r>
    </w:p>
    <w:p>
      <w:pPr>
        <w:pBdr>
          <w:bottom w:val="single" w:color="FDF6E3" w:sz="6"/>
        </w:pBdr>
        <w:shd w:fill="FDF6E3" w:val="clear"/>
        <w:spacing w:after="18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number wrong forever.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Before you move on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Open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sharepoint\data\_ROW_COUNTS.csv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and note the total: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2,422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 You will check against this in Stage 3.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C3549" w:sz="8"/>
        </w:pBdr>
        <w:spacing w:after="200" w:before="0"/>
      </w:pPr>
      <w:r>
        <w:rPr>
          <w:rFonts w:ascii="Calibri" w:cs="Calibri" w:eastAsia="Calibri" w:hAnsi="Calibri"/>
          <w:b/>
          <w:bCs/>
          <w:color w:val="0C3549"/>
          <w:sz w:val="34"/>
          <w:szCs w:val="34"/>
        </w:rPr>
        <w:t xml:space="preserve">Stage 2 — Build the SharePoint site  ·  45 minutes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What you are doing: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creating the 14 lists, all 138 columns, and the views the technicians will actually use. The script does it; you just run it.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Do this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1. Create an empty site.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SharePoint →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Create site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→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Team site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→ name it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Maintenance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 Copy the address — it looks like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https://yourcompany.sharepoint.com/sites/Maintenance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2. Practice run first.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In PowerShell 7, in the project folder:</w:t>
      </w:r>
    </w:p>
    <w:p>
      <w:pPr>
        <w:shd w:fill="F4F6F7" w:val="clear"/>
        <w:spacing w:after="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cd sharepoint</w:t>
      </w:r>
    </w:p>
    <w:p>
      <w:pPr>
        <w:shd w:fill="F4F6F7" w:val="clear"/>
        <w:spacing w:after="14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.\provision_lists.ps1 -SiteUrl "https://yourcompany.sharepoint.com/sites/Maintenance" -WhatIf</w:t>
      </w:r>
    </w:p>
    <w:p>
      <w:pPr>
        <w:spacing w:after="120" w:before="60"/>
      </w:pP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-WhatIf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means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"show me what you would do, but do not actually do it."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Nothing is created. It prints every list and column it *would* make.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Read it. You should see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14 lists, 138 columns, 5 libraries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Failed : 0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⚠ If it says you need admin approval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Many corporate tenants block unapproved applications, and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Connect-PnPOnline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then fails with a consent error that does not tell you what to do. It is not a problem with these scripts and it is not something you can click past.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Someone with Entra (Azure AD) rights registers an application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once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:</w:t>
      </w:r>
    </w:p>
    <w:p>
      <w:pPr>
        <w:shd w:fill="F4F6F7" w:val="clear"/>
        <w:spacing w:after="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Register-PnPEntraIDAppForInteractiveLogin `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  -ApplicationName "EPQPL PM Provisioning" `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  -Tenant yourcompany.onmicrosoft.com `</w:t>
      </w:r>
    </w:p>
    <w:p>
      <w:pPr>
        <w:shd w:fill="F4F6F7" w:val="clear"/>
        <w:spacing w:after="14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  -Interactive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It prints a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client id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 Add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-ClientId "&lt;that id&gt;"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to all three scripts from then on:</w:t>
      </w:r>
    </w:p>
    <w:p>
      <w:pPr>
        <w:shd w:fill="F4F6F7" w:val="clear"/>
        <w:spacing w:after="14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.\provision_lists.ps1 -SiteUrl "&lt;your site&gt;" -ClientId "&lt;that id&gt;" -WhatIf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Ask for this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before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your provisioning day if you are not sure. It is a ten-minute job for whoever holds the rights, and a half-day delay if you discover it at 9 a.m. on the day.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3. Now do it for real.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Same command, without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-WhatIf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:</w:t>
      </w:r>
    </w:p>
    <w:p>
      <w:pPr>
        <w:shd w:fill="F4F6F7" w:val="clear"/>
        <w:spacing w:after="14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.\provision_lists.ps1 -SiteUrl "https://yourcompany.sharepoint.com/sites/Maintenance"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It will ask you to sign in. Takes a few minutes.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4. Add the views and the shop-floor buttons:</w:t>
      </w:r>
    </w:p>
    <w:p>
      <w:pPr>
        <w:shd w:fill="F4F6F7" w:val="clear"/>
        <w:spacing w:after="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.\apply_views.ps1 -SiteUrl "https://yourcompany.sharepoint.com/sites/Maintenance" -WhatIf</w:t>
      </w:r>
    </w:p>
    <w:p>
      <w:pPr>
        <w:shd w:fill="F4F6F7" w:val="clear"/>
        <w:spacing w:after="14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.\apply_views.ps1 -SiteUrl "https://yourcompany.sharepoint.com/sites/Maintenance"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How you know it worked</w:t>
      </w:r>
    </w:p>
    <w:p>
      <w:pPr>
        <w:spacing w:after="120" w:before="60"/>
      </w:pP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Failed : 0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at the end, and you can see 14 lists on the site.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⚠ One check you must not skip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Open the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Cell_Master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list →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Settings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(gear icon) →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List settings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→ click the column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`Cell_ID`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 Look at the web address in your browser.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✅ It ends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Field=Cell_ID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correct, carry on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❌ It ends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Field=Cell%5Fx005f%5FID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stop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The second one means the column was created by hand rather than by the script. SharePoint mangles names containing underscores. Everything downstream — the dashboard, the flows, the app — refers to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Cell_ID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and none of it would find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Cell_x005f_ID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 Delete that column and re-run the script.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C3549" w:sz="8"/>
        </w:pBdr>
        <w:spacing w:after="200" w:before="0"/>
      </w:pPr>
      <w:r>
        <w:rPr>
          <w:rFonts w:ascii="Calibri" w:cs="Calibri" w:eastAsia="Calibri" w:hAnsi="Calibri"/>
          <w:b/>
          <w:bCs/>
          <w:color w:val="0C3549"/>
          <w:sz w:val="34"/>
          <w:szCs w:val="34"/>
        </w:rPr>
        <w:t xml:space="preserve">Stage 3 — Load the data  ·  20 minutes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What you are doing: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putting the 2,422 rows into the lists you just made.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Do this</w:t>
      </w:r>
    </w:p>
    <w:p>
      <w:pPr>
        <w:shd w:fill="F4F6F7" w:val="clear"/>
        <w:spacing w:after="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.\load_data.ps1 -SiteUrl "https://yourcompany.sharepoint.com/sites/Maintenance" -WhatIf</w:t>
      </w:r>
    </w:p>
    <w:p>
      <w:pPr>
        <w:shd w:fill="F4F6F7" w:val="clear"/>
        <w:spacing w:after="14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.\load_data.ps1 -SiteUrl "https://yourcompany.sharepoint.com/sites/Maintenance"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Practice run first, as before. The real run takes a few minutes.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How you know it worked</w:t>
      </w:r>
    </w:p>
    <w:p>
      <w:pPr>
        <w:spacing w:after="120" w:before="60"/>
      </w:pP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Rows loaded : 2422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Conversion problems : 0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⚠ Then count them yourself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Open each list and compare its item count against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sharepoint\data\_ROW_COUNTS.csv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</w:t>
      </w:r>
    </w:p>
    <w:p>
      <w:pPr>
        <w:shd w:fill="F4F6F7" w:val="clear"/>
        <w:spacing w:after="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Cell_Master              8      PM_WorkOrder            51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Technician_Master        6      PM_Machine_Task        193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Spare_Master            15      Checklist_Response     997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Checklist_Master        51      Breakdown_Log           88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Machine_Master          30      Spare_Replaced          58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Plant_Calendar         730      Abnormality_Log         44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StdHours_Monthly        96      PM_Plan_Calendar        55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</w:t>
      </w:r>
    </w:p>
    <w:p>
      <w:pPr>
        <w:shd w:fill="F4F6F7" w:val="clear"/>
        <w:spacing w:after="14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                               2,422 rows in total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A list that is short by even one row means a row was dropped silently. Find it now, not in six months.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⚠ Now mark your holidays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`Plant_Calendar`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list. It has one row per day for two years, with Sundays already marked as non-working.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It does not know about your festival holidays or the annual shutdown.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Nobody could guess those, so they were left for you.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Filter to the next 12 months, and for every holiday, Pongal day, and shutdown day: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set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Day_Type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Holiday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or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Shutdown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set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Is_Working_Day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to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No</w:t>
      </w:r>
    </w:p>
    <w:p>
      <w:pPr>
        <w:pBdr>
          <w:top w:val="single" w:color="FDF6E3" w:sz="6"/>
        </w:pBdr>
        <w:shd w:fill="FDF6E3" w:val="clear"/>
        <w:spacing w:after="60" w:before="140"/>
        <w:ind w:left="280" w:right="280"/>
      </w:pPr>
      <w:r>
        <w:rPr>
          <w:rFonts w:ascii="Calibri" w:cs="Calibri" w:eastAsia="Calibri" w:hAnsi="Calibri"/>
          <w:b/>
          <w:bCs/>
          <w:color w:val="8A5A00"/>
          <w:sz w:val="20"/>
          <w:szCs w:val="20"/>
        </w:rPr>
        <w:t xml:space="preserve">Why this matters:</w:t>
      </w:r>
      <w:r>
        <w:rPr>
          <w:rFonts w:ascii="Calibri" w:cs="Calibri" w:eastAsia="Calibri" w:hAnsi="Calibri"/>
          <w:color w:val="8A5A00"/>
          <w:sz w:val="20"/>
          <w:szCs w:val="20"/>
        </w:rPr>
        <w:t xml:space="preserve"> when a cell's PM happens mid-month, the system splits that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month's hours between the old cycle and the new one — based on </w:t>
      </w:r>
      <w:r>
        <w:rPr>
          <w:rFonts w:ascii="Calibri" w:cs="Calibri" w:eastAsia="Calibri" w:hAnsi="Calibri"/>
          <w:b/>
          <w:bCs/>
          <w:color w:val="8A5A00"/>
          <w:sz w:val="20"/>
          <w:szCs w:val="20"/>
        </w:rPr>
        <w:t xml:space="preserve">working days</w:t>
      </w:r>
      <w:r>
        <w:rPr>
          <w:rFonts w:ascii="Calibri" w:cs="Calibri" w:eastAsia="Calibri" w:hAnsi="Calibri"/>
          <w:color w:val="8A5A00"/>
          <w:sz w:val="20"/>
          <w:szCs w:val="20"/>
        </w:rPr>
        <w:t xml:space="preserve">.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Every holiday you do not mark is a day the system thinks you were producing. The</w:t>
      </w:r>
    </w:p>
    <w:p>
      <w:pPr>
        <w:pBdr>
          <w:bottom w:val="single" w:color="FDF6E3" w:sz="6"/>
        </w:pBdr>
        <w:shd w:fill="FDF6E3" w:val="clear"/>
        <w:spacing w:after="18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counter then creeps, and the next PM comes slightly early. Every cycle. Forever.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C3549" w:sz="8"/>
        </w:pBdr>
        <w:spacing w:after="200" w:before="0"/>
      </w:pPr>
      <w:r>
        <w:rPr>
          <w:rFonts w:ascii="Calibri" w:cs="Calibri" w:eastAsia="Calibri" w:hAnsi="Calibri"/>
          <w:b/>
          <w:bCs/>
          <w:color w:val="0C3549"/>
          <w:sz w:val="34"/>
          <w:szCs w:val="34"/>
        </w:rPr>
        <w:t xml:space="preserve">Stage 4 — Build the forms  ·  half a day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What you are doing: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making the five forms the technicians fill in. This is the fiddliest stage. Take your time.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The five forms, in the order they appear on the machine's page:</w:t>
      </w:r>
    </w:p>
    <w:tbl>
      <w:tblPr>
        <w:tblW w:type="dxa" w:w="9746"/>
        <w:tblBorders>
          <w:top w:val="single" w:color="D9E2E6" w:sz="2"/>
          <w:left w:val="single" w:color="D9E2E6" w:sz="2"/>
          <w:bottom w:val="single" w:color="D9E2E6" w:sz="2"/>
          <w:right w:val="single" w:color="D9E2E6" w:sz="2"/>
          <w:insideH w:val="single" w:color="D9E2E6" w:sz="2"/>
          <w:insideV w:val="single" w:color="D9E2E6" w:sz="2"/>
        </w:tblBorders>
      </w:tblPr>
      <w:tblGrid>
        <w:gridCol w:w="1835"/>
        <w:gridCol w:w="3210"/>
        <w:gridCol w:w="4701"/>
      </w:tblGrid>
      <w:tr>
        <w:trPr>
          <w:tblHeader/>
        </w:trPr>
        <w:tc>
          <w:tcPr>
            <w:tcW w:type="dxa" w:w="1835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Form</w:t>
            </w:r>
          </w:p>
        </w:tc>
        <w:tc>
          <w:tcPr>
            <w:tcW w:type="dxa" w:w="3210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Questions</w:t>
            </w:r>
          </w:p>
        </w:tc>
        <w:tc>
          <w:tcPr>
            <w:tcW w:type="dxa" w:w="4701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it does</w:t>
            </w:r>
          </w:p>
        </w:tc>
      </w:tr>
      <w:tr>
        <w:trPr>
          <w:tblHeader w:val="false"/>
        </w:trPr>
        <w:tc>
          <w:tcPr>
            <w:tcW w:type="dxa" w:w="183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PM Start</w:t>
            </w:r>
          </w:p>
        </w:tc>
        <w:tc>
          <w:tcPr>
            <w:tcW w:type="dxa" w:w="321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2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— and both are pre-filled</w:t>
            </w:r>
          </w:p>
        </w:tc>
        <w:tc>
          <w:tcPr>
            <w:tcW w:type="dxa" w:w="470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Starts the clock on a machine's PM</w:t>
            </w:r>
          </w:p>
        </w:tc>
      </w:tr>
      <w:tr>
        <w:trPr>
          <w:tblHeader w:val="false"/>
        </w:trPr>
        <w:tc>
          <w:tcPr>
            <w:tcW w:type="dxa" w:w="183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PM Checklist</w:t>
            </w:r>
          </w:p>
        </w:tc>
        <w:tc>
          <w:tcPr>
            <w:tcW w:type="dxa" w:w="321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4, then the checklist itself</w:t>
            </w:r>
          </w:p>
        </w:tc>
        <w:tc>
          <w:tcPr>
            <w:tcW w:type="dxa" w:w="470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Records every check point</w:t>
            </w:r>
          </w:p>
        </w:tc>
      </w:tr>
      <w:tr>
        <w:trPr>
          <w:tblHeader w:val="false"/>
        </w:trPr>
        <w:tc>
          <w:tcPr>
            <w:tcW w:type="dxa" w:w="183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Spare Replaced</w:t>
            </w:r>
          </w:p>
        </w:tc>
        <w:tc>
          <w:tcPr>
            <w:tcW w:type="dxa" w:w="321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9</w:t>
            </w:r>
          </w:p>
        </w:tc>
        <w:tc>
          <w:tcPr>
            <w:tcW w:type="dxa" w:w="470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Records what was fitted and why it failed</w:t>
            </w:r>
          </w:p>
        </w:tc>
      </w:tr>
      <w:tr>
        <w:trPr>
          <w:tblHeader w:val="false"/>
        </w:trPr>
        <w:tc>
          <w:tcPr>
            <w:tcW w:type="dxa" w:w="183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Breakdown Report</w:t>
            </w:r>
          </w:p>
        </w:tc>
        <w:tc>
          <w:tcPr>
            <w:tcW w:type="dxa" w:w="321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14</w:t>
            </w:r>
          </w:p>
        </w:tc>
        <w:tc>
          <w:tcPr>
            <w:tcW w:type="dxa" w:w="470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Records a stoppage</w:t>
            </w:r>
          </w:p>
        </w:tc>
      </w:tr>
      <w:tr>
        <w:trPr>
          <w:tblHeader w:val="false"/>
        </w:trPr>
        <w:tc>
          <w:tcPr>
            <w:tcW w:type="dxa" w:w="183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Abnormality Log</w:t>
            </w:r>
          </w:p>
        </w:tc>
        <w:tc>
          <w:tcPr>
            <w:tcW w:type="dxa" w:w="321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9</w:t>
            </w:r>
          </w:p>
        </w:tc>
        <w:tc>
          <w:tcPr>
            <w:tcW w:type="dxa" w:w="470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Records anything anyone spots</w:t>
            </w:r>
          </w:p>
        </w:tc>
      </w:tr>
    </w:tbl>
    <w:p>
      <w:pPr>
        <w:spacing w:after="18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`automate\FLOW_SPECS.md` §"The five forms" lists every question on every form, with the SharePoint column each one lands in.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Build from there — this stage is the one where working from memory costs you a week.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⚠ The rule that will catch you out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A pre-filled link fills in answers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by position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question 1 gets the first value, question 2 the second, and so on. It does not use question names.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So: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`Machine ID` must always be question 1, `Cell ID` always question 2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and on the checklist,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`Checklist ID` always question 3.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If you ever add a question above them, every sticker on the shop floor will start filling the wrong boxes — silently, with no error. Add new questions at the bottom.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Do this, for each form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Go to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forms.office.com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signed in as the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owning account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(the one you chose at the start). →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New Form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Question 1: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type of question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Text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title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Machine ID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mark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Required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Question 2: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Text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Cell ID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Required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Question 3: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Choice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Technician Name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Required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type in all six names from the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Technician_Master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list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   &gt; This one is not optional and never becomes a text box. Everyone signs in with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   &gt; the same account, so this dropdown is the *only* record of who did the work.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   &gt; Free text gives you "Murugan", "murugan s" and "MURUGAN S", and then nothing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   &gt; can be counted.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Add the rest of that form's questions from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FLOW_SPECS.md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Settings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(…) →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Anyone can respond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✅ ,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Record name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❌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Two forms are different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PM Start has no technician question at all.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Machine and cell arrive pre-filled from the sticker, so the whole thing is: scan, tap *Start PM*, tap *Submit*. Nothing records who started a job —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Completed_By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on the checklist is the record that matters — so a dropdown there would be a tap that throws its answer away.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PM Checklist has nine sections, one per checklist.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Question 3 is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Checklist ID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pre-filled from the machine, and the form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branches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on it to the section for that checklist, with the real check-point wording written out.</w:t>
      </w:r>
    </w:p>
    <w:p>
      <w:pPr>
        <w:pBdr>
          <w:top w:val="single" w:color="FDF6E3" w:sz="6"/>
        </w:pBdr>
        <w:shd w:fill="FDF6E3" w:val="clear"/>
        <w:spacing w:after="60" w:before="14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Build one form with nine sections, not nine forms. The alternative — eight generic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"Item 4 result" boxes — works fine for the flow and is useless to the person</w:t>
      </w:r>
    </w:p>
    <w:p>
      <w:pPr>
        <w:pBdr>
          <w:bottom w:val="single" w:color="FDF6E3" w:sz="6"/>
        </w:pBdr>
        <w:shd w:fill="FDF6E3" w:val="clear"/>
        <w:spacing w:after="18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holding the phone, because nothing on screen says what item 4 actually is.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Each check point is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two questions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: a four-option choice, and one optional text box for the reading or the observation. The four options carry two facts in one tap —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OK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NOT OK — fixed on the spot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NOT OK — needs follow-up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N/A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Then make the pre-filled links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Open a form →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Collect responses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→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Get a link to prefill answers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Type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MC-01-001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into Machine ID and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CELL-01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into Cell ID, leave the rest blank (on the checklist, pick a Checklist ID too)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Get link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 You get something like:</w:t>
      </w:r>
    </w:p>
    <w:p>
      <w:pPr>
        <w:shd w:fill="F4F6F7" w:val="clear"/>
        <w:spacing w:after="14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https://forms.office.com/r/AbCdEf?id=xxxxx&amp;r1a2b3c4=MC-01-001&amp;r5d6e7f8=CELL-01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Those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r1a2b3c4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codes are that form's question IDs. They never change.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You do not make one of these per machine.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Cut the link into two pieces — everything before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MC-01-001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and the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&amp;r5d6e7f8=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that follows it — and paste them into the matching placeholders in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sharepoint\formatting\Machine_Master.MachineHub.view.json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  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Eleven placeholders across the five forms, set once.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The machine's page builds every button's link from the row it is showing, so there is nothing per-machine to keep up to date. *(An earlier design stored four URLs against each of the 30 machines — 120 links typed into a spreadsheet, every one of them a chance to point a button at the wrong machine.)*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   Copy and paste both halves out of a real link. Retyping an eight-character question ID by hand gives you a button that opens the form with nothing filled in, and nothing about it looks wrong until somebody uses it.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Test one on a real phone before you go on.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Open it and check the machine and cell are already filled in, and that the first thing you have to touch is a real question — not the keyboard.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C3549" w:sz="8"/>
        </w:pBdr>
        <w:spacing w:after="200" w:before="0"/>
      </w:pPr>
      <w:r>
        <w:rPr>
          <w:rFonts w:ascii="Calibri" w:cs="Calibri" w:eastAsia="Calibri" w:hAnsi="Calibri"/>
          <w:b/>
          <w:bCs/>
          <w:color w:val="0C3549"/>
          <w:sz w:val="34"/>
          <w:szCs w:val="34"/>
        </w:rPr>
        <w:t xml:space="preserve">Stage 5 — Print and fit the QR stickers  ·  half a day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What you are doing: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making the stickers that go on the machines.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Do this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Generate them against your real site address:</w:t>
      </w:r>
    </w:p>
    <w:p>
      <w:pPr>
        <w:shd w:fill="F4F6F7" w:val="clear"/>
        <w:spacing w:after="14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python qr/generate_qr_labels.py --base-url https://yourcompany.sharepoint.com/sites/Maintenance --test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It must say `passed: 30    failed: 0`.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If it does not, do not print.</w:t>
      </w:r>
    </w:p>
    <w:p>
      <w:pPr>
        <w:pBdr>
          <w:top w:val="single" w:color="FDF6E3" w:sz="6"/>
        </w:pBdr>
        <w:shd w:fill="FDF6E3" w:val="clear"/>
        <w:spacing w:after="60" w:before="140"/>
        <w:ind w:left="280" w:right="280"/>
      </w:pPr>
      <w:r>
        <w:rPr>
          <w:rFonts w:ascii="Consolas" w:cs="Consolas" w:eastAsia="Consolas" w:hAnsi="Consolas"/>
          <w:color w:val="0C3549"/>
          <w:sz w:val="18"/>
          <w:szCs w:val="18"/>
          <w:shd w:fill="F4F6F7" w:val="clear"/>
        </w:rPr>
        <w:t xml:space="preserve">--test</w:t>
      </w:r>
      <w:r>
        <w:rPr>
          <w:rFonts w:ascii="Calibri" w:cs="Calibri" w:eastAsia="Calibri" w:hAnsi="Calibri"/>
          <w:color w:val="8A5A00"/>
          <w:sz w:val="20"/>
          <w:szCs w:val="20"/>
        </w:rPr>
        <w:t xml:space="preserve"> reads every sticker back with a scanner and checks it points at its own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machine. A wrong sticker takes about a month to notice, and by then it has been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scanned two hundred times against the wrong machine — every one of those a record</w:t>
      </w:r>
    </w:p>
    <w:p>
      <w:pPr>
        <w:pBdr>
          <w:bottom w:val="single" w:color="FDF6E3" w:sz="6"/>
        </w:pBdr>
        <w:shd w:fill="FDF6E3" w:val="clear"/>
        <w:spacing w:after="18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you cannot easily unpick.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Print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qr\labels\PM_QR_Labels.pdf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:</w:t>
      </w:r>
    </w:p>
    <w:tbl>
      <w:tblPr>
        <w:tblW w:type="dxa" w:w="9746"/>
        <w:tblBorders>
          <w:top w:val="single" w:color="D9E2E6" w:sz="2"/>
          <w:left w:val="single" w:color="D9E2E6" w:sz="2"/>
          <w:bottom w:val="single" w:color="D9E2E6" w:sz="2"/>
          <w:right w:val="single" w:color="D9E2E6" w:sz="2"/>
          <w:insideH w:val="single" w:color="D9E2E6" w:sz="2"/>
          <w:insideV w:val="single" w:color="D9E2E6" w:sz="2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tcW w:type="dxa" w:w="8728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rPr>
          <w:tblHeader w:val="false"/>
        </w:trPr>
        <w:tc>
          <w:tcPr>
            <w:tcW w:type="dxa" w:w="1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Paper</w:t>
            </w:r>
          </w:p>
        </w:tc>
        <w:tc>
          <w:tcPr>
            <w:tcW w:type="dxa" w:w="872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A4 </w:t>
            </w: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polyester or vinyl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sticker sheets, 3 × 8 pre-cut at 50 × 30 mm</w:t>
            </w:r>
          </w:p>
        </w:tc>
      </w:tr>
      <w:tr>
        <w:trPr>
          <w:tblHeader w:val="false"/>
        </w:trPr>
        <w:tc>
          <w:tcPr>
            <w:tcW w:type="dxa" w:w="1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Scale</w:t>
            </w:r>
          </w:p>
        </w:tc>
        <w:tc>
          <w:tcPr>
            <w:tcW w:type="dxa" w:w="872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100% / Actual size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— never "Fit to page"</w:t>
            </w:r>
          </w:p>
        </w:tc>
      </w:tr>
      <w:tr>
        <w:trPr>
          <w:tblHeader w:val="false"/>
        </w:trPr>
        <w:tc>
          <w:tcPr>
            <w:tcW w:type="dxa" w:w="1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Printer</w:t>
            </w:r>
          </w:p>
        </w:tc>
        <w:tc>
          <w:tcPr>
            <w:tcW w:type="dxa" w:w="872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Laser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, not inkjet</w:t>
            </w:r>
          </w:p>
        </w:tc>
      </w:tr>
    </w:tbl>
    <w:p>
      <w:pPr>
        <w:spacing w:after="180"/>
      </w:pPr>
      <w:r>
        <w:t xml:space="preserve"/>
      </w:r>
    </w:p>
    <w:p>
      <w:pPr>
        <w:pBdr>
          <w:top w:val="single" w:color="FDF6E3" w:sz="6"/>
        </w:pBdr>
        <w:shd w:fill="FDF6E3" w:val="clear"/>
        <w:spacing w:after="60" w:before="14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Paper labels do not survive a fuse plant — oil soaks in and the code is gone in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weeks. "Fit to page" shrinks the code below the size a phone can read reliably.</w:t>
      </w:r>
    </w:p>
    <w:p>
      <w:pPr>
        <w:pBdr>
          <w:bottom w:val="single" w:color="FDF6E3" w:sz="6"/>
        </w:pBdr>
        <w:shd w:fill="FDF6E3" w:val="clear"/>
        <w:spacing w:after="18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Inkjet runs the moment someone wipes the machine with solvent.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Stick them at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chest height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on a flat surface, away from the coolant spray.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Walk the floor and scan every single one.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Two people, one hour. Check each opens the page for the machine it is stuck to. This removes an entire class of problem permanently.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C3549" w:sz="8"/>
        </w:pBdr>
        <w:spacing w:after="200" w:before="0"/>
      </w:pPr>
      <w:r>
        <w:rPr>
          <w:rFonts w:ascii="Calibri" w:cs="Calibri" w:eastAsia="Calibri" w:hAnsi="Calibri"/>
          <w:b/>
          <w:bCs/>
          <w:color w:val="0C3549"/>
          <w:sz w:val="34"/>
          <w:szCs w:val="34"/>
        </w:rPr>
        <w:t xml:space="preserve">Stage 6 — Build the flows  ·  2 days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What you are doing: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building the 9 automations that make the system run by itself. This is the biggest stage.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Open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automate\FLOW_SPECS.md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 It lists every flow, every action in order, and every setting.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automate\expressions.md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has every formula written out to copy and paste.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Build them in this order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Do 5, 2 and 1 first.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They are the heart of the system — the reset, the trigger and the monthly counter. Get those working before anything else.</w:t>
      </w:r>
    </w:p>
    <w:tbl>
      <w:tblPr>
        <w:tblW w:type="dxa" w:w="9746"/>
        <w:tblBorders>
          <w:top w:val="single" w:color="D9E2E6" w:sz="2"/>
          <w:left w:val="single" w:color="D9E2E6" w:sz="2"/>
          <w:bottom w:val="single" w:color="D9E2E6" w:sz="2"/>
          <w:right w:val="single" w:color="D9E2E6" w:sz="2"/>
          <w:insideH w:val="single" w:color="D9E2E6" w:sz="2"/>
          <w:insideV w:val="single" w:color="D9E2E6" w:sz="2"/>
        </w:tblBorders>
      </w:tblPr>
      <w:tblGrid>
        <w:gridCol w:w="779"/>
        <w:gridCol w:w="2515"/>
        <w:gridCol w:w="6288"/>
        <w:gridCol w:w="164"/>
      </w:tblGrid>
      <w:tr>
        <w:trPr>
          <w:tblHeader/>
        </w:trPr>
        <w:tc>
          <w:tcPr>
            <w:tcW w:type="dxa" w:w="779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Order</w:t>
            </w:r>
          </w:p>
        </w:tc>
        <w:tc>
          <w:tcPr>
            <w:tcW w:type="dxa" w:w="2515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Flow</w:t>
            </w:r>
          </w:p>
        </w:tc>
        <w:tc>
          <w:tcPr>
            <w:tcW w:type="dxa" w:w="6288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it does</w:t>
            </w:r>
          </w:p>
        </w:tc>
        <w:tc>
          <w:tcPr>
            <w:tcW w:type="dxa" w:w="164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Time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1st</w:t>
            </w:r>
          </w:p>
        </w:tc>
        <w:tc>
          <w:tcPr>
            <w:tcW w:type="dxa" w:w="251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5 — Cell Closure &amp; Reset</w:t>
            </w:r>
          </w:p>
        </w:tc>
        <w:tc>
          <w:tcPr>
            <w:tcW w:type="dxa" w:w="628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Zeroes the counter when the last machine in a cell is done</w:t>
            </w:r>
          </w:p>
        </w:tc>
        <w:tc>
          <w:tcPr>
            <w:tcW w:type="dxa" w:w="16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3 h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2nd</w:t>
            </w:r>
          </w:p>
        </w:tc>
        <w:tc>
          <w:tcPr>
            <w:tcW w:type="dxa" w:w="251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2 — PM Trigger</w:t>
            </w:r>
          </w:p>
        </w:tc>
        <w:tc>
          <w:tcPr>
            <w:tcW w:type="dxa" w:w="628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Raises the work order when a cell hits 4,000 hours or 6 months</w:t>
            </w:r>
          </w:p>
        </w:tc>
        <w:tc>
          <w:tcPr>
            <w:tcW w:type="dxa" w:w="16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3 h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3rd</w:t>
            </w:r>
          </w:p>
        </w:tc>
        <w:tc>
          <w:tcPr>
            <w:tcW w:type="dxa" w:w="251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1 — Monthly Hours Import</w:t>
            </w:r>
          </w:p>
        </w:tc>
        <w:tc>
          <w:tcPr>
            <w:tcW w:type="dxa" w:w="628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Adds each month's hours to the counters</w:t>
            </w:r>
          </w:p>
        </w:tc>
        <w:tc>
          <w:tcPr>
            <w:tcW w:type="dxa" w:w="16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4 h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then</w:t>
            </w:r>
          </w:p>
        </w:tc>
        <w:tc>
          <w:tcPr>
            <w:tcW w:type="dxa" w:w="251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3, 4</w:t>
            </w:r>
          </w:p>
        </w:tc>
        <w:tc>
          <w:tcPr>
            <w:tcW w:type="dxa" w:w="628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Scan in, checklist submission</w:t>
            </w:r>
          </w:p>
        </w:tc>
        <w:tc>
          <w:tcPr>
            <w:tcW w:type="dxa" w:w="16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4 h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then</w:t>
            </w:r>
          </w:p>
        </w:tc>
        <w:tc>
          <w:tcPr>
            <w:tcW w:type="dxa" w:w="251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6, 7, 8</w:t>
            </w:r>
          </w:p>
        </w:tc>
        <w:tc>
          <w:tcPr>
            <w:tcW w:type="dxa" w:w="628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Breakdown, spare fitted, abnormality</w:t>
            </w:r>
          </w:p>
        </w:tc>
        <w:tc>
          <w:tcPr>
            <w:tcW w:type="dxa" w:w="16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3 h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last</w:t>
            </w:r>
          </w:p>
        </w:tc>
        <w:tc>
          <w:tcPr>
            <w:tcW w:type="dxa" w:w="251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9</w:t>
            </w:r>
          </w:p>
        </w:tc>
        <w:tc>
          <w:tcPr>
            <w:tcW w:type="dxa" w:w="628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Daily digest</w:t>
            </w:r>
          </w:p>
        </w:tc>
        <w:tc>
          <w:tcPr>
            <w:tcW w:type="dxa" w:w="16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2 h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Three rules while building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1. Name your actions before you write formulas.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Formulas refer to actions by name. Rename an action afterwards and the formula breaks — the flow still saves, and then fails later with a confusing error.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2. Turn concurrency OFF on flows 1 and 5.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In the flow: the "Apply to each" step →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Settings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→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Concurrency Control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→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Off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</w:t>
      </w:r>
    </w:p>
    <w:p>
      <w:pPr>
        <w:pBdr>
          <w:top w:val="single" w:color="FDF6E3" w:sz="6"/>
        </w:pBdr>
        <w:shd w:fill="FDF6E3" w:val="clear"/>
        <w:spacing w:after="60" w:before="14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Both flows read a number, change it, and write it back. If two run at the same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time they both read the same starting number and one of the two updates is lost.</w:t>
      </w:r>
    </w:p>
    <w:p>
      <w:pPr>
        <w:pBdr>
          <w:bottom w:val="single" w:color="FDF6E3" w:sz="6"/>
        </w:pBdr>
        <w:shd w:fill="FDF6E3" w:val="clear"/>
        <w:spacing w:after="18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This will happen the first month two cells finish on the same afternoon.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3. Add your two co-owners to every flow as you finish it.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Flow →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Share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→ add both. Doing this later across 9 flows is an hour nobody ever schedules.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Also: point every failure alert at the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shared mailbox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not your own inbox.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C3549" w:sz="8"/>
        </w:pBdr>
        <w:spacing w:after="200" w:before="0"/>
      </w:pPr>
      <w:r>
        <w:rPr>
          <w:rFonts w:ascii="Calibri" w:cs="Calibri" w:eastAsia="Calibri" w:hAnsi="Calibri"/>
          <w:b/>
          <w:bCs/>
          <w:color w:val="0C3549"/>
          <w:sz w:val="34"/>
          <w:szCs w:val="34"/>
        </w:rPr>
        <w:t xml:space="preserve">Stage 7 — Set up the dashboard  ·  half a day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What you are doing: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opening the Power BI report and pointing it at your live SharePoint site.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Do this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Double-click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powerbi\PM_Dashboard.pbip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 Power BI Desktop opens.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It asks for settings. Set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pSourceFolder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to your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input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folder. Click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Refresh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Check all nine pages open without red error triangles.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One small job Power BI will not do for you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It takes under a minute. It cannot be saved in the file.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The machine drill-through.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Click the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Machine 360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page. In the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Visualizations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panel on the right, find the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Drill through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box, and drag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Dim_Machine → Machine_ID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into it. Now you can right-click any machine anywhere and jump to its full history.</w:t>
      </w:r>
    </w:p>
    <w:p>
      <w:pPr>
        <w:pBdr>
          <w:top w:val="single" w:color="FDF6E3" w:sz="6"/>
        </w:pBdr>
        <w:shd w:fill="FDF6E3" w:val="clear"/>
        <w:spacing w:after="60" w:before="14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There used to be a second job here — setting two invisible spacer bars on page 3 to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"no fill" to fake a timeline chart. You had to remember it every time the report was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rebuilt, and forgetting it gave you a chart that looked fine and was wrong. It came</w:t>
      </w:r>
    </w:p>
    <w:p>
      <w:pPr>
        <w:pBdr>
          <w:bottom w:val="single" w:color="FDF6E3" w:sz="6"/>
        </w:pBdr>
        <w:shd w:fill="FDF6E3" w:val="clear"/>
        <w:spacing w:after="18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out with the reduction.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Now point it at SharePoint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Home → Transform data → Manage parameters:</w:t>
      </w:r>
    </w:p>
    <w:tbl>
      <w:tblPr>
        <w:tblW w:type="dxa" w:w="9746"/>
        <w:tblBorders>
          <w:top w:val="single" w:color="D9E2E6" w:sz="2"/>
          <w:left w:val="single" w:color="D9E2E6" w:sz="2"/>
          <w:bottom w:val="single" w:color="D9E2E6" w:sz="2"/>
          <w:right w:val="single" w:color="D9E2E6" w:sz="2"/>
          <w:insideH w:val="single" w:color="D9E2E6" w:sz="2"/>
          <w:insideV w:val="single" w:color="D9E2E6" w:sz="2"/>
        </w:tblBorders>
      </w:tblPr>
      <w:tblGrid>
        <w:gridCol w:w="4568"/>
        <w:gridCol w:w="5178"/>
      </w:tblGrid>
      <w:tr>
        <w:trPr>
          <w:tblHeader/>
        </w:trPr>
        <w:tc>
          <w:tcPr>
            <w:tcW w:type="dxa" w:w="4568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tcW w:type="dxa" w:w="5178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Change it to</w:t>
            </w:r>
          </w:p>
        </w:tc>
      </w:tr>
      <w:tr>
        <w:trPr>
          <w:tblHeader w:val="false"/>
        </w:trPr>
        <w:tc>
          <w:tcPr>
            <w:tcW w:type="dxa" w:w="456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pSourceMode</w:t>
            </w:r>
          </w:p>
        </w:tc>
        <w:tc>
          <w:tcPr>
            <w:tcW w:type="dxa" w:w="51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SharePoint</w:t>
            </w:r>
          </w:p>
        </w:tc>
      </w:tr>
      <w:tr>
        <w:trPr>
          <w:tblHeader w:val="false"/>
        </w:trPr>
        <w:tc>
          <w:tcPr>
            <w:tcW w:type="dxa" w:w="456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pSharePointSite</w:t>
            </w:r>
          </w:p>
        </w:tc>
        <w:tc>
          <w:tcPr>
            <w:tcW w:type="dxa" w:w="51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your site address</w:t>
            </w:r>
          </w:p>
        </w:tc>
      </w:tr>
    </w:tbl>
    <w:p>
      <w:pPr>
        <w:spacing w:after="18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Refresh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 That is the whole switch — one setting.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Publish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to your workspace. Then in the browser: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Settings → Scheduled refresh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→ twice a day,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06:00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and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14:00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C3549" w:sz="8"/>
        </w:pBdr>
        <w:spacing w:after="200" w:before="0"/>
      </w:pPr>
      <w:r>
        <w:rPr>
          <w:rFonts w:ascii="Calibri" w:cs="Calibri" w:eastAsia="Calibri" w:hAnsi="Calibri"/>
          <w:b/>
          <w:bCs/>
          <w:color w:val="0C3549"/>
          <w:sz w:val="34"/>
          <w:szCs w:val="34"/>
        </w:rPr>
        <w:t xml:space="preserve">Stage 8 — Test everything  ·  1 day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What you are doing: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proving it works before real people depend on it.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Open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docs\UAT_TEST_CASES.md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 There are 35 tests. Write a name and a date against each one as you do it.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Do not shorten this.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These five matter most:</w:t>
      </w:r>
    </w:p>
    <w:tbl>
      <w:tblPr>
        <w:tblW w:type="dxa" w:w="9746"/>
        <w:tblBorders>
          <w:top w:val="single" w:color="D9E2E6" w:sz="2"/>
          <w:left w:val="single" w:color="D9E2E6" w:sz="2"/>
          <w:bottom w:val="single" w:color="D9E2E6" w:sz="2"/>
          <w:right w:val="single" w:color="D9E2E6" w:sz="2"/>
          <w:insideH w:val="single" w:color="D9E2E6" w:sz="2"/>
          <w:insideV w:val="single" w:color="D9E2E6" w:sz="2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8728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you are proving</w:t>
            </w:r>
          </w:p>
        </w:tc>
      </w:tr>
      <w:tr>
        <w:trPr>
          <w:tblHeader w:val="false"/>
        </w:trPr>
        <w:tc>
          <w:tcPr>
            <w:tcW w:type="dxa" w:w="1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UAT-14</w:t>
            </w:r>
          </w:p>
        </w:tc>
        <w:tc>
          <w:tcPr>
            <w:tcW w:type="dxa" w:w="872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Finish 3 of 4 machines in a cell → the counter does </w:t>
            </w: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not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reset</w:t>
            </w:r>
          </w:p>
        </w:tc>
      </w:tr>
      <w:tr>
        <w:trPr>
          <w:tblHeader w:val="false"/>
        </w:trPr>
        <w:tc>
          <w:tcPr>
            <w:tcW w:type="dxa" w:w="1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UAT-15</w:t>
            </w:r>
          </w:p>
        </w:tc>
        <w:tc>
          <w:tcPr>
            <w:tcW w:type="dxa" w:w="872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Finish the 4th → the counter resets and all three fields change together</w:t>
            </w:r>
          </w:p>
        </w:tc>
      </w:tr>
      <w:tr>
        <w:trPr>
          <w:tblHeader w:val="false"/>
        </w:trPr>
        <w:tc>
          <w:tcPr>
            <w:tcW w:type="dxa" w:w="1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UAT-19</w:t>
            </w:r>
          </w:p>
        </w:tc>
        <w:tc>
          <w:tcPr>
            <w:tcW w:type="dxa" w:w="872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A mid-month PM splits the hours correctly → </w:t>
            </w: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720.00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hours, not 780 or 728</w:t>
            </w:r>
          </w:p>
        </w:tc>
      </w:tr>
      <w:tr>
        <w:trPr>
          <w:tblHeader w:val="false"/>
        </w:trPr>
        <w:tc>
          <w:tcPr>
            <w:tcW w:type="dxa" w:w="1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UAT-21</w:t>
            </w:r>
          </w:p>
        </w:tc>
        <w:tc>
          <w:tcPr>
            <w:tcW w:type="dxa" w:w="872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Uploading the same month twice → rejected</w:t>
            </w:r>
          </w:p>
        </w:tc>
      </w:tr>
      <w:tr>
        <w:trPr>
          <w:tblHeader w:val="false"/>
        </w:trPr>
        <w:tc>
          <w:tcPr>
            <w:tcW w:type="dxa" w:w="1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UAT-30a</w:t>
            </w:r>
          </w:p>
        </w:tc>
        <w:tc>
          <w:tcPr>
            <w:tcW w:type="dxa" w:w="872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The Monday "system healthy" email arrives</w:t>
            </w:r>
          </w:p>
        </w:tc>
      </w:tr>
    </w:tbl>
    <w:p>
      <w:pPr>
        <w:spacing w:after="180"/>
      </w:pPr>
      <w:r>
        <w:t xml:space="preserve"/>
      </w:r>
    </w:p>
    <w:p>
      <w:pPr>
        <w:pBdr>
          <w:top w:val="single" w:color="FDF6E3" w:sz="6"/>
        </w:pBdr>
        <w:shd w:fill="FDF6E3" w:val="clear"/>
        <w:spacing w:after="60" w:before="140"/>
        <w:ind w:left="280" w:right="280"/>
      </w:pPr>
      <w:r>
        <w:rPr>
          <w:rFonts w:ascii="Calibri" w:cs="Calibri" w:eastAsia="Calibri" w:hAnsi="Calibri"/>
          <w:b/>
          <w:bCs/>
          <w:color w:val="8A5A00"/>
          <w:sz w:val="20"/>
          <w:szCs w:val="20"/>
        </w:rPr>
        <w:t xml:space="preserve">UAT-14 and UAT-15 together are the whole system.</w:t>
      </w:r>
      <w:r>
        <w:rPr>
          <w:rFonts w:ascii="Calibri" w:cs="Calibri" w:eastAsia="Calibri" w:hAnsi="Calibri"/>
          <w:color w:val="8A5A00"/>
          <w:sz w:val="20"/>
          <w:szCs w:val="20"/>
        </w:rPr>
        <w:t xml:space="preserve"> If the counter resets when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three of four machines are done, every PM interval is wrong from that day on — and</w:t>
      </w:r>
    </w:p>
    <w:p>
      <w:pPr>
        <w:pBdr>
          <w:bottom w:val="single" w:color="FDF6E3" w:sz="6"/>
        </w:pBdr>
        <w:shd w:fill="FDF6E3" w:val="clear"/>
        <w:spacing w:after="18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nothing on any screen will tell you.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C3549" w:sz="8"/>
        </w:pBdr>
        <w:spacing w:after="200" w:before="0"/>
      </w:pPr>
      <w:r>
        <w:rPr>
          <w:rFonts w:ascii="Calibri" w:cs="Calibri" w:eastAsia="Calibri" w:hAnsi="Calibri"/>
          <w:b/>
          <w:bCs/>
          <w:color w:val="0C3549"/>
          <w:sz w:val="34"/>
          <w:szCs w:val="34"/>
        </w:rPr>
        <w:t xml:space="preserve">Stage 9 — Train and go live  ·  1 day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Print the SOP</w:t>
      </w:r>
    </w:p>
    <w:p>
      <w:pPr>
        <w:spacing w:after="120" w:before="60"/>
      </w:pP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docs\TECHNICIAN_SOP_1PAGE.md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one page, English and Tamil. Print it, laminate it, put one at every cell.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Train the technicians — 30 minutes, standing at a machine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Not in a meeting room. At a machine.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Scan a sticker. Look at the screen. Read the hours counter.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Start a PM. Work through the checklist. Submit it.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Report a breakdown.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Explain the name dropdown.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Say it plainly: *this is the only record of who did the work. Pick the wrong name and someone else gets asked about your job.*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Train the supervisors — 1 hour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The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My Allotted PM List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view, and how rows disappear as work gets done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The daily digest, and what to act on first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The planning page in Power BI, and the monthly plan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The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NOT OK Findings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view, and deciding which findings become a work order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Go live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On a Monday.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Not a Friday. The first week produces questions and you want a full week to answer them.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Run the first monthly upload with someone watching.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It has the most moving parts and it is the step nobody will remember in a year.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C3549" w:sz="8"/>
        </w:pBdr>
        <w:spacing w:after="200" w:before="0"/>
      </w:pPr>
      <w:r>
        <w:rPr>
          <w:rFonts w:ascii="Calibri" w:cs="Calibri" w:eastAsia="Calibri" w:hAnsi="Calibri"/>
          <w:b/>
          <w:bCs/>
          <w:color w:val="0C3549"/>
          <w:sz w:val="34"/>
          <w:szCs w:val="34"/>
        </w:rPr>
        <w:t xml:space="preserve">After go-live — the routine</w:t>
      </w:r>
    </w:p>
    <w:tbl>
      <w:tblPr>
        <w:tblW w:type="dxa" w:w="9746"/>
        <w:tblBorders>
          <w:top w:val="single" w:color="D9E2E6" w:sz="2"/>
          <w:left w:val="single" w:color="D9E2E6" w:sz="2"/>
          <w:bottom w:val="single" w:color="D9E2E6" w:sz="2"/>
          <w:right w:val="single" w:color="D9E2E6" w:sz="2"/>
          <w:insideH w:val="single" w:color="D9E2E6" w:sz="2"/>
          <w:insideV w:val="single" w:color="D9E2E6" w:sz="2"/>
        </w:tblBorders>
      </w:tblPr>
      <w:tblGrid>
        <w:gridCol w:w="1526"/>
        <w:gridCol w:w="7045"/>
        <w:gridCol w:w="1175"/>
      </w:tblGrid>
      <w:tr>
        <w:trPr>
          <w:tblHeader/>
        </w:trPr>
        <w:tc>
          <w:tcPr>
            <w:tcW w:type="dxa" w:w="1526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When</w:t>
            </w:r>
          </w:p>
        </w:tc>
        <w:tc>
          <w:tcPr>
            <w:tcW w:type="dxa" w:w="7045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</w:t>
            </w:r>
          </w:p>
        </w:tc>
        <w:tc>
          <w:tcPr>
            <w:tcW w:type="dxa" w:w="1175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Who</w:t>
            </w:r>
          </w:p>
        </w:tc>
      </w:tr>
      <w:tr>
        <w:trPr>
          <w:tblHeader w:val="false"/>
        </w:trPr>
        <w:tc>
          <w:tcPr>
            <w:tcW w:type="dxa" w:w="15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Every Monday</w:t>
            </w:r>
          </w:p>
        </w:tc>
        <w:tc>
          <w:tcPr>
            <w:tcW w:type="dxa" w:w="704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Check the "system healthy" email arrived.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No email = the flows have stopped</w:t>
            </w:r>
          </w:p>
        </w:tc>
        <w:tc>
          <w:tcPr>
            <w:tcW w:type="dxa" w:w="117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Supervisor</w:t>
            </w:r>
          </w:p>
        </w:tc>
      </w:tr>
      <w:tr>
        <w:trPr>
          <w:tblHeader w:val="false"/>
        </w:trPr>
        <w:tc>
          <w:tcPr>
            <w:tcW w:type="dxa" w:w="15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Every day</w:t>
            </w:r>
          </w:p>
        </w:tc>
        <w:tc>
          <w:tcPr>
            <w:tcW w:type="dxa" w:w="704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Act on the digest. Deal with </w:t>
            </w: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reset failures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first</w:t>
            </w:r>
          </w:p>
        </w:tc>
        <w:tc>
          <w:tcPr>
            <w:tcW w:type="dxa" w:w="117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Supervisor</w:t>
            </w:r>
          </w:p>
        </w:tc>
      </w:tr>
      <w:tr>
        <w:trPr>
          <w:tblHeader w:val="false"/>
        </w:trPr>
        <w:tc>
          <w:tcPr>
            <w:tcW w:type="dxa" w:w="15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1st–3rd</w:t>
            </w:r>
          </w:p>
        </w:tc>
        <w:tc>
          <w:tcPr>
            <w:tcW w:type="dxa" w:w="704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Upload the hours file. Check the summary email</w:t>
            </w:r>
          </w:p>
        </w:tc>
        <w:tc>
          <w:tcPr>
            <w:tcW w:type="dxa" w:w="117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Planner</w:t>
            </w:r>
          </w:p>
        </w:tc>
      </w:tr>
      <w:tr>
        <w:trPr>
          <w:tblHeader w:val="false"/>
        </w:trPr>
        <w:tc>
          <w:tcPr>
            <w:tcW w:type="dxa" w:w="15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5th</w:t>
            </w:r>
          </w:p>
        </w:tc>
        <w:tc>
          <w:tcPr>
            <w:tcW w:type="dxa" w:w="704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Review cells at 90%+. Agree PM dates with production</w:t>
            </w:r>
          </w:p>
        </w:tc>
        <w:tc>
          <w:tcPr>
            <w:tcW w:type="dxa" w:w="117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Supervisor</w:t>
            </w:r>
          </w:p>
        </w:tc>
      </w:tr>
      <w:tr>
        <w:trPr>
          <w:tblHeader w:val="false"/>
        </w:trPr>
        <w:tc>
          <w:tcPr>
            <w:tcW w:type="dxa" w:w="15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25th</w:t>
            </w:r>
          </w:p>
        </w:tc>
        <w:tc>
          <w:tcPr>
            <w:tcW w:type="dxa" w:w="704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Freeze next month's plan</w:t>
            </w:r>
          </w:p>
        </w:tc>
        <w:tc>
          <w:tcPr>
            <w:tcW w:type="dxa" w:w="117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Supervisor</w:t>
            </w:r>
          </w:p>
        </w:tc>
      </w:tr>
      <w:tr>
        <w:trPr>
          <w:tblHeader w:val="false"/>
        </w:trPr>
        <w:tc>
          <w:tcPr>
            <w:tcW w:type="dxa" w:w="15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Monthly</w:t>
            </w:r>
          </w:p>
        </w:tc>
        <w:tc>
          <w:tcPr>
            <w:tcW w:type="dxa" w:w="704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Review every skipped machine and why</w:t>
            </w:r>
          </w:p>
        </w:tc>
        <w:tc>
          <w:tcPr>
            <w:tcW w:type="dxa" w:w="117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Manager</w:t>
            </w:r>
          </w:p>
        </w:tc>
      </w:tr>
      <w:tr>
        <w:trPr>
          <w:tblHeader w:val="false"/>
        </w:trPr>
        <w:tc>
          <w:tcPr>
            <w:tcW w:type="dxa" w:w="15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Monthly</w:t>
            </w:r>
          </w:p>
        </w:tc>
        <w:tc>
          <w:tcPr>
            <w:tcW w:type="dxa" w:w="704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Check </w:t>
            </w: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Breakdowns After PM (7d)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— </w:t>
            </w: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is the PM actually working?</w:t>
            </w:r>
          </w:p>
        </w:tc>
        <w:tc>
          <w:tcPr>
            <w:tcW w:type="dxa" w:w="117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Manager</w:t>
            </w:r>
          </w:p>
        </w:tc>
      </w:tr>
      <w:tr>
        <w:trPr>
          <w:tblHeader w:val="false"/>
        </w:trPr>
        <w:tc>
          <w:tcPr>
            <w:tcW w:type="dxa" w:w="15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Each December</w:t>
            </w:r>
          </w:p>
        </w:tc>
        <w:tc>
          <w:tcPr>
            <w:tcW w:type="dxa" w:w="704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Mark next year's holidays in </w:t>
            </w: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Plant_Calendar</w:t>
            </w:r>
          </w:p>
        </w:tc>
        <w:tc>
          <w:tcPr>
            <w:tcW w:type="dxa" w:w="117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Planner</w:t>
            </w:r>
          </w:p>
        </w:tc>
      </w:tr>
    </w:tbl>
    <w:p>
      <w:pPr>
        <w:spacing w:after="180"/>
      </w:pPr>
      <w:r>
        <w:t xml:space="preserve"/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C3549" w:sz="8"/>
        </w:pBdr>
        <w:spacing w:after="200" w:before="0"/>
      </w:pPr>
      <w:r>
        <w:rPr>
          <w:rFonts w:ascii="Calibri" w:cs="Calibri" w:eastAsia="Calibri" w:hAnsi="Calibri"/>
          <w:b/>
          <w:bCs/>
          <w:color w:val="0C3549"/>
          <w:sz w:val="34"/>
          <w:szCs w:val="34"/>
        </w:rPr>
        <w:t xml:space="preserve">The one thing to get right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The 9 flows will be owned by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one person's account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 There is no service account available, and that is fine — but you need to know what it means.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A flow has two things attached: who can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edit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it, and the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connections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it uses to reach SharePoint, Outlook and Teams. Those connections belong to the single account that created them.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If that account is ever disabled or loses its licence, every connection breaks and all 9 flows stop.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Adding co-owners lets someone else go in and repair them — it does not stop them breaking.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So the real question is: *how long before anyone notices?*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The answer is the Monday email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The daily digest only sends when there is something to act on — otherwise people stop reading it. But that makes silence mean two things: "nothing wrong" or "everything died three weeks ago".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So it also sends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every Monday, even when everything is fine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saying *"PM system healthy — nothing outstanding."*</w:t>
      </w:r>
    </w:p>
    <w:p>
      <w:pPr>
        <w:pBdr>
          <w:top w:val="single" w:color="FDF6E3" w:sz="6"/>
        </w:pBdr>
        <w:shd w:fill="FDF6E3" w:val="clear"/>
        <w:spacing w:after="60" w:before="140"/>
        <w:ind w:left="280" w:right="280"/>
      </w:pPr>
      <w:r>
        <w:rPr>
          <w:rFonts w:ascii="Calibri" w:cs="Calibri" w:eastAsia="Calibri" w:hAnsi="Calibri"/>
          <w:b/>
          <w:bCs/>
          <w:color w:val="0C3549"/>
          <w:sz w:val="24"/>
          <w:szCs w:val="24"/>
        </w:rPr>
        <w:t xml:space="preserve">If no email arrives on a Monday, the flows have stopped.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Tell whoever watches the system this one sentence. It is the entire early warning,</w:t>
      </w:r>
    </w:p>
    <w:p>
      <w:pPr>
        <w:pBdr>
          <w:bottom w:val="single" w:color="FDF6E3" w:sz="6"/>
        </w:pBdr>
        <w:shd w:fill="FDF6E3" w:val="clear"/>
        <w:spacing w:after="18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and it costs one email a week.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And do these three while building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Two co-owners on every flow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Flow → Share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Failure alerts to a shared mailbox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not one person's inbox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Export a backup after testing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Power Automate → Export → Package (.zip), keep it with the project folder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If the owning person is ever leaving, hand the flows over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before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their last day. Once the licence is gone the connections are already broken.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ASSUMPTIONS.md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§8.2 has the full procedure — about half a day.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C3549" w:sz="8"/>
        </w:pBdr>
        <w:spacing w:after="200" w:before="0"/>
      </w:pPr>
      <w:r>
        <w:rPr>
          <w:rFonts w:ascii="Calibri" w:cs="Calibri" w:eastAsia="Calibri" w:hAnsi="Calibri"/>
          <w:b/>
          <w:bCs/>
          <w:color w:val="0C3549"/>
          <w:sz w:val="34"/>
          <w:szCs w:val="34"/>
        </w:rPr>
        <w:t xml:space="preserve">Quick reference — every command</w:t>
      </w:r>
    </w:p>
    <w:p>
      <w:pPr>
        <w:shd w:fill="F4F6F7" w:val="clear"/>
        <w:spacing w:after="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# Stage 1 — check and prepare the data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python tools/prepare_sharepoint_data.py --strict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# Stage 2 — build the site  (practice run first, always)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cd sharepoint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.\provision_lists.ps1 -SiteUrl "&lt;your site&gt;" -WhatIf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.\provision_lists.ps1 -SiteUrl "&lt;your site&gt;"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.\apply_views.ps1     -SiteUrl "&lt;your site&gt;" -WhatIf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.\apply_views.ps1     -SiteUrl "&lt;your site&gt;"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# Stage 3 — load the data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.\load_data.ps1       -SiteUrl "&lt;your site&gt;" -WhatIf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.\load_data.ps1       -SiteUrl "&lt;your site&gt;"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# Stage 5 — QR stickers  (must say 30 passed, 0 failed)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python qr/generate_qr_labels.py --base-url "&lt;your site&gt;" --test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# Any time — check the whole system is still sound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python tools/validate_model.py</w:t>
      </w:r>
    </w:p>
    <w:p>
      <w:pPr>
        <w:shd w:fill="F4F6F7" w:val="clear"/>
        <w:spacing w:after="14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python tools/verify_measures.py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C3549" w:sz="8"/>
        </w:pBdr>
        <w:spacing w:after="200" w:before="0"/>
      </w:pPr>
      <w:r>
        <w:rPr>
          <w:rFonts w:ascii="Calibri" w:cs="Calibri" w:eastAsia="Calibri" w:hAnsi="Calibri"/>
          <w:b/>
          <w:bCs/>
          <w:color w:val="0C3549"/>
          <w:sz w:val="34"/>
          <w:szCs w:val="34"/>
        </w:rPr>
        <w:t xml:space="preserve">If something breaks</w:t>
      </w:r>
    </w:p>
    <w:tbl>
      <w:tblPr>
        <w:tblW w:type="dxa" w:w="9746"/>
        <w:tblBorders>
          <w:top w:val="single" w:color="D9E2E6" w:sz="2"/>
          <w:left w:val="single" w:color="D9E2E6" w:sz="2"/>
          <w:bottom w:val="single" w:color="D9E2E6" w:sz="2"/>
          <w:right w:val="single" w:color="D9E2E6" w:sz="2"/>
          <w:insideH w:val="single" w:color="D9E2E6" w:sz="2"/>
          <w:insideV w:val="single" w:color="D9E2E6" w:sz="2"/>
        </w:tblBorders>
      </w:tblPr>
      <w:tblGrid>
        <w:gridCol w:w="3169"/>
        <w:gridCol w:w="2990"/>
        <w:gridCol w:w="3587"/>
      </w:tblGrid>
      <w:tr>
        <w:trPr>
          <w:tblHeader/>
        </w:trPr>
        <w:tc>
          <w:tcPr>
            <w:tcW w:type="dxa" w:w="3169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you see</w:t>
            </w:r>
          </w:p>
        </w:tc>
        <w:tc>
          <w:tcPr>
            <w:tcW w:type="dxa" w:w="2990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it means</w:t>
            </w:r>
          </w:p>
        </w:tc>
        <w:tc>
          <w:tcPr>
            <w:tcW w:type="dxa" w:w="3587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to do</w:t>
            </w:r>
          </w:p>
        </w:tc>
      </w:tr>
      <w:tr>
        <w:trPr>
          <w:tblHeader w:val="false"/>
        </w:trPr>
        <w:tc>
          <w:tcPr>
            <w:tcW w:type="dxa" w:w="31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No Monday email</w:t>
            </w:r>
          </w:p>
        </w:tc>
        <w:tc>
          <w:tcPr>
            <w:tcW w:type="dxa" w:w="299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The flows have stopped</w:t>
            </w:r>
          </w:p>
        </w:tc>
        <w:tc>
          <w:tcPr>
            <w:tcW w:type="dxa" w:w="358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Power Automate → My flows → look for a switched-off flow or an "Invalid connection" warning</w:t>
            </w:r>
          </w:p>
        </w:tc>
      </w:tr>
      <w:tr>
        <w:trPr>
          <w:tblHeader w:val="false"/>
        </w:trPr>
        <w:tc>
          <w:tcPr>
            <w:tcW w:type="dxa" w:w="31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Counter did not reset after all machines done</w:t>
            </w:r>
          </w:p>
        </w:tc>
        <w:tc>
          <w:tcPr>
            <w:tcW w:type="dxa" w:w="299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Flow 5 failed, or one task is still </w:t>
            </w: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Pending</w:t>
            </w:r>
          </w:p>
        </w:tc>
        <w:tc>
          <w:tcPr>
            <w:tcW w:type="dxa" w:w="358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Open Flow 5 → run history → read the error</w:t>
            </w:r>
          </w:p>
        </w:tc>
      </w:tr>
      <w:tr>
        <w:trPr>
          <w:tblHeader w:val="false"/>
        </w:trPr>
        <w:tc>
          <w:tcPr>
            <w:tcW w:type="dxa" w:w="31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Two work orders for the same cell</w:t>
            </w:r>
          </w:p>
        </w:tc>
        <w:tc>
          <w:tcPr>
            <w:tcW w:type="dxa" w:w="299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Flow 2 is missing its "is one already open?" check</w:t>
            </w:r>
          </w:p>
        </w:tc>
        <w:tc>
          <w:tcPr>
            <w:tcW w:type="dxa" w:w="358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Cancel one, fix the condition</w:t>
            </w:r>
          </w:p>
        </w:tc>
      </w:tr>
      <w:tr>
        <w:trPr>
          <w:tblHeader w:val="false"/>
        </w:trPr>
        <w:tc>
          <w:tcPr>
            <w:tcW w:type="dxa" w:w="31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Monthly upload rejected</w:t>
            </w:r>
          </w:p>
        </w:tc>
        <w:tc>
          <w:tcPr>
            <w:tcW w:type="dxa" w:w="299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That month is already loaded</w:t>
            </w:r>
          </w:p>
        </w:tc>
        <w:tc>
          <w:tcPr>
            <w:tcW w:type="dxa" w:w="358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Check </w:t>
            </w: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StdHours_Monthly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for existing rows</w:t>
            </w:r>
          </w:p>
        </w:tc>
      </w:tr>
      <w:tr>
        <w:trPr>
          <w:tblHeader w:val="false"/>
        </w:trPr>
        <w:tc>
          <w:tcPr>
            <w:tcW w:type="dxa" w:w="31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Counter jumped a whole month after a mid-month PM</w:t>
            </w:r>
          </w:p>
        </w:tc>
        <w:tc>
          <w:tcPr>
            <w:tcW w:type="dxa" w:w="299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The hours were not split</w:t>
            </w:r>
          </w:p>
        </w:tc>
        <w:tc>
          <w:tcPr>
            <w:tcW w:type="dxa" w:w="358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Check the cell's </w:t>
            </w: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Last_PM_Date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falls inside the uploaded month, and that </w:t>
            </w: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Get item cell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is the </w:t>
            </w: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first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action inside Flow 1's row loop</w:t>
            </w:r>
          </w:p>
        </w:tc>
      </w:tr>
      <w:tr>
        <w:trPr>
          <w:tblHeader w:val="false"/>
        </w:trPr>
        <w:tc>
          <w:tcPr>
            <w:tcW w:type="dxa" w:w="31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Import fails, naming a month</w:t>
            </w:r>
          </w:p>
        </w:tc>
        <w:tc>
          <w:tcPr>
            <w:tcW w:type="dxa" w:w="299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Plant_Calendar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has no working days for it</w:t>
            </w:r>
          </w:p>
        </w:tc>
        <w:tc>
          <w:tcPr>
            <w:tcW w:type="dxa" w:w="358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Add the dates and mark working days</w:t>
            </w:r>
          </w:p>
        </w:tc>
      </w:tr>
      <w:tr>
        <w:trPr>
          <w:tblHeader w:val="false"/>
        </w:trPr>
        <w:tc>
          <w:tcPr>
            <w:tcW w:type="dxa" w:w="31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Sticker opens a blank page</w:t>
            </w:r>
          </w:p>
        </w:tc>
        <w:tc>
          <w:tcPr>
            <w:tcW w:type="dxa" w:w="299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The link points at a renamed view</w:t>
            </w:r>
          </w:p>
        </w:tc>
        <w:tc>
          <w:tcPr>
            <w:tcW w:type="dxa" w:w="358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Re-run </w:t>
            </w: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apply_views.ps1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, update </w:t>
            </w: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QR_Payload_URL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, reprint</w:t>
            </w:r>
          </w:p>
        </w:tc>
      </w:tr>
      <w:tr>
        <w:trPr>
          <w:tblHeader w:val="false"/>
        </w:trPr>
        <w:tc>
          <w:tcPr>
            <w:tcW w:type="dxa" w:w="31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Dashboard columns blank after switching to SharePoint</w:t>
            </w:r>
          </w:p>
        </w:tc>
        <w:tc>
          <w:tcPr>
            <w:tcW w:type="dxa" w:w="299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Mangled column names (see Stage 2)</w:t>
            </w:r>
          </w:p>
        </w:tc>
        <w:tc>
          <w:tcPr>
            <w:tcW w:type="dxa" w:w="358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Recreate those columns using the script</w:t>
            </w:r>
          </w:p>
        </w:tc>
      </w:tr>
      <w:tr>
        <w:trPr>
          <w:tblHeader w:val="false"/>
        </w:trPr>
        <w:tc>
          <w:tcPr>
            <w:tcW w:type="dxa" w:w="31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Flow fails "cannot convert null"</w:t>
            </w:r>
          </w:p>
        </w:tc>
        <w:tc>
          <w:tcPr>
            <w:tcW w:type="dxa" w:w="299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A blank number in a calculation</w:t>
            </w:r>
          </w:p>
        </w:tc>
        <w:tc>
          <w:tcPr>
            <w:tcW w:type="dxa" w:w="358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Wrap it: </w:t>
            </w: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float(coalesce(x, 0))</w:t>
            </w:r>
          </w:p>
        </w:tc>
      </w:tr>
    </w:tbl>
    <w:p>
      <w:pPr>
        <w:spacing w:after="180"/>
      </w:pPr>
      <w:r>
        <w:t xml:space="preserve"/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0C3549"/>
          <w:sz w:val="26"/>
          <w:szCs w:val="26"/>
        </w:rPr>
        <w:t xml:space="preserve">Where to go for more detail</w:t>
      </w:r>
    </w:p>
    <w:tbl>
      <w:tblPr>
        <w:tblW w:type="dxa" w:w="9746"/>
        <w:tblBorders>
          <w:top w:val="single" w:color="D9E2E6" w:sz="2"/>
          <w:left w:val="single" w:color="D9E2E6" w:sz="2"/>
          <w:bottom w:val="single" w:color="D9E2E6" w:sz="2"/>
          <w:right w:val="single" w:color="D9E2E6" w:sz="2"/>
          <w:insideH w:val="single" w:color="D9E2E6" w:sz="2"/>
          <w:insideV w:val="single" w:color="D9E2E6" w:sz="2"/>
        </w:tblBorders>
      </w:tblPr>
      <w:tblGrid>
        <w:gridCol w:w="6054"/>
        <w:gridCol w:w="3692"/>
      </w:tblGrid>
      <w:tr>
        <w:trPr>
          <w:tblHeader/>
        </w:trPr>
        <w:tc>
          <w:tcPr>
            <w:tcW w:type="dxa" w:w="6054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Question</w:t>
            </w:r>
          </w:p>
        </w:tc>
        <w:tc>
          <w:tcPr>
            <w:tcW w:type="dxa" w:w="3692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Read</w:t>
            </w:r>
          </w:p>
        </w:tc>
      </w:tr>
      <w:tr>
        <w:trPr>
          <w:tblHeader w:val="false"/>
        </w:trPr>
        <w:tc>
          <w:tcPr>
            <w:tcW w:type="dxa" w:w="605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Exact technical steps</w:t>
            </w:r>
          </w:p>
        </w:tc>
        <w:tc>
          <w:tcPr>
            <w:tcW w:type="dxa" w:w="369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IMPLEMENTATION_RUNBOOK.md</w:t>
            </w:r>
          </w:p>
        </w:tc>
      </w:tr>
      <w:tr>
        <w:trPr>
          <w:tblHeader w:val="false"/>
        </w:trPr>
        <w:tc>
          <w:tcPr>
            <w:tcW w:type="dxa" w:w="605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Why something was built that way</w:t>
            </w:r>
          </w:p>
        </w:tc>
        <w:tc>
          <w:tcPr>
            <w:tcW w:type="dxa" w:w="369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ASSUMPTIONS.md</w:t>
            </w:r>
          </w:p>
        </w:tc>
      </w:tr>
      <w:tr>
        <w:trPr>
          <w:tblHeader w:val="false"/>
        </w:trPr>
        <w:tc>
          <w:tcPr>
            <w:tcW w:type="dxa" w:w="605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How to build a specific flow</w:t>
            </w:r>
          </w:p>
        </w:tc>
        <w:tc>
          <w:tcPr>
            <w:tcW w:type="dxa" w:w="369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automate/FLOW_SPECS.md</w:t>
            </w:r>
          </w:p>
        </w:tc>
      </w:tr>
      <w:tr>
        <w:trPr>
          <w:tblHeader w:val="false"/>
        </w:trPr>
        <w:tc>
          <w:tcPr>
            <w:tcW w:type="dxa" w:w="605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A formula to paste into a flow</w:t>
            </w:r>
          </w:p>
        </w:tc>
        <w:tc>
          <w:tcPr>
            <w:tcW w:type="dxa" w:w="369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automate/expressions.md</w:t>
            </w:r>
          </w:p>
        </w:tc>
      </w:tr>
      <w:tr>
        <w:trPr>
          <w:tblHeader w:val="false"/>
        </w:trPr>
        <w:tc>
          <w:tcPr>
            <w:tcW w:type="dxa" w:w="605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Power BI: opening, refreshing, repointing</w:t>
            </w:r>
          </w:p>
        </w:tc>
        <w:tc>
          <w:tcPr>
            <w:tcW w:type="dxa" w:w="369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powerbi/README_PowerBI.md</w:t>
            </w:r>
          </w:p>
        </w:tc>
      </w:tr>
      <w:tr>
        <w:trPr>
          <w:tblHeader w:val="false"/>
        </w:trPr>
        <w:tc>
          <w:tcPr>
            <w:tcW w:type="dxa" w:w="605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QR stickers: printing, reprinting</w:t>
            </w:r>
          </w:p>
        </w:tc>
        <w:tc>
          <w:tcPr>
            <w:tcW w:type="dxa" w:w="369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qr/README_QR.md</w:t>
            </w:r>
          </w:p>
        </w:tc>
      </w:tr>
      <w:tr>
        <w:trPr>
          <w:tblHeader w:val="false"/>
        </w:trPr>
        <w:tc>
          <w:tcPr>
            <w:tcW w:type="dxa" w:w="605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The full picture for whoever takes over</w:t>
            </w:r>
          </w:p>
        </w:tc>
        <w:tc>
          <w:tcPr>
            <w:tcW w:type="dxa" w:w="369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HANDOVER.md</w:t>
            </w:r>
          </w:p>
        </w:tc>
      </w:tr>
    </w:tbl>
    <w:p>
      <w:pPr>
        <w:spacing w:after="18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6B76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E2E6" w:sz="4"/>
      </w:pBdr>
      <w:spacing w:after="100"/>
      <w:jc w:val="right"/>
    </w:pPr>
    <w:r>
      <w:rPr>
        <w:rFonts w:ascii="Calibri" w:cs="Calibri" w:eastAsia="Calibri" w:hAnsi="Calibri"/>
        <w:color w:val="6B7680"/>
        <w:sz w:val="16"/>
        <w:szCs w:val="16"/>
      </w:rPr>
      <w:t xml:space="preserve">EPQPL Pondicherry  ·  Preventive Maintenance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80" w:hanging="220"/>
      </w:pPr>
    </w:lvl>
    <w:lvl w:ilvl="1" w15:tentative="1">
      <w:start w:val="1"/>
      <w:numFmt w:val="bullet"/>
      <w:lvlText w:val="–"/>
      <w:lvlJc w:val="left"/>
      <w:pPr>
        <w:ind w:left="680" w:hanging="220"/>
      </w:pPr>
    </w:lvl>
    <w:lvl w:ilvl="2" w15:tentative="1">
      <w:start w:val="1"/>
      <w:numFmt w:val="bullet"/>
      <w:lvlText w:val="·"/>
      <w:lvlJc w:val="left"/>
      <w:pPr>
        <w:ind w:left="98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  <w:lvl w:ilvl="1" w15:tentative="1">
      <w:start w:val="1"/>
      <w:numFmt w:val="lowerLetter"/>
      <w:lvlText w:val="%2."/>
      <w:lvlJc w:val="left"/>
      <w:pPr>
        <w:ind w:left="720" w:hanging="260"/>
      </w:pPr>
    </w:lvl>
    <w:lvl w:ilvl="2" w15:tentative="1">
      <w:start w:val="1"/>
      <w:numFmt w:val="lowerRoman"/>
      <w:lvlText w:val="%3."/>
      <w:lvlJc w:val="left"/>
      <w:pPr>
        <w:ind w:left="102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Step-by-step build guide</dc:title>
  <dc:creator>Maintenance Engineering</dc:creator>
  <dc:description>EPQPL Pondicherry - cell-based preventive maintenance system</dc:description>
  <cp:lastModifiedBy>Un-named</cp:lastModifiedBy>
  <cp:revision>1</cp:revision>
  <dcterms:created xsi:type="dcterms:W3CDTF">2026-09-14T12:23:37.994Z</dcterms:created>
  <dcterms:modified xsi:type="dcterms:W3CDTF">2026-09-14T12:23:37.995Z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