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Criação de conteúdos através de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30"/>
          <w:szCs w:val="30"/>
        </w:rPr>
      </w:pPr>
      <w:r w:rsidDel="00000000" w:rsidR="00000000" w:rsidRPr="00000000">
        <w:rPr>
          <w:b w:val="1"/>
          <w:color w:val="0b5394"/>
          <w:sz w:val="30"/>
          <w:szCs w:val="30"/>
          <w:rtl w:val="0"/>
        </w:rPr>
        <w:t xml:space="preserve">Termo de Aceite de Entrega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Objetivo deste documento</w:t>
      </w:r>
    </w:p>
    <w:p w:rsidR="00000000" w:rsidDel="00000000" w:rsidP="00000000" w:rsidRDefault="00000000" w:rsidRPr="00000000" w14:paraId="00000005">
      <w:pPr>
        <w:ind w:left="-708.6614173228347" w:right="-1132.7952755905512" w:firstLine="0"/>
        <w:rPr/>
      </w:pPr>
      <w:r w:rsidDel="00000000" w:rsidR="00000000" w:rsidRPr="00000000">
        <w:rPr>
          <w:rtl w:val="0"/>
        </w:rPr>
        <w:t xml:space="preserve">Este documento faz parte do Processo da disciplina Residência em IA e tem como objetivo formalizar o aceite da entrega considerando o planejado e o realizado para o período.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Data da Reunião (“gate”) de aprovação: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26 de out. de 2023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Participantes da Entrega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[matriculados em Residência em IA]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708.6614173228347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Állan Christoffer Pereira Silva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Gabriel da Mata Marques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Heinz Felipe Cavalcante Rahmig</w:t>
            </w:r>
          </w:p>
        </w:tc>
      </w:tr>
    </w:tbl>
    <w:p w:rsidR="00000000" w:rsidDel="00000000" w:rsidP="00000000" w:rsidRDefault="00000000" w:rsidRPr="00000000" w14:paraId="0000000E">
      <w:pPr>
        <w:ind w:hanging="708.6614173228347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08.6614173228347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Entrega: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[descrever a ENTREGA: requisitos e produtos gerados: links para textos, códigos, vídeos etc.]</w:t>
      </w:r>
    </w:p>
    <w:p w:rsidR="00000000" w:rsidDel="00000000" w:rsidP="00000000" w:rsidRDefault="00000000" w:rsidRPr="00000000" w14:paraId="00000010">
      <w:pPr>
        <w:ind w:left="-708.6614173228347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1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.661417322835"/>
        <w:tblGridChange w:id="0">
          <w:tblGrid>
            <w:gridCol w:w="9211.66141732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entrega consistiu no início do processo de revisão bibliográfica das referências que irão fundamentar os trabalhos do grupo responsável pela temática de MLOps.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requisitos básicos para a entrega eram: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artigos e publicações em outras bases científicas além da CSCI.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um repositório com os trabalhos encontrados.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uma revisão preliminar dos trabalhos e um breve resumo sobre cada 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produtos gerados para esta entrega estão descritos a seguir: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Estruturação do processo de revisão bibliográfica utilizando a ferramenta Parsifal.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282727" cy="98775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727" cy="987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281613" cy="131379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613" cy="1313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938713" cy="1452563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13" cy="1452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929188" cy="1119148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188" cy="1119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72038" cy="1211909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038" cy="12119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Zero construída para unificar, resumir e analisar os trabalhos encontrados: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https://docs.google.com/spreadsheets/d/1SA2-s5X5U6dmyC2N0XpDzmfCO0eIQKutO1tDGO-eHLg/edit?usp=sharing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08.6614173228347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Planejamento: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[descrever o que pretende fazer para realizar a próxima ENTREGA]</w:t>
      </w:r>
    </w:p>
    <w:p w:rsidR="00000000" w:rsidDel="00000000" w:rsidP="00000000" w:rsidRDefault="00000000" w:rsidRPr="00000000" w14:paraId="00000025">
      <w:pPr>
        <w:ind w:left="-708.6614173228347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.661417322835"/>
        <w:tblGridChange w:id="0">
          <w:tblGrid>
            <w:gridCol w:w="9211.66141732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 próxima entrega do dia 10/11/2023, estão planejadas as seguintes atividades: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do processo de revisão bibliográfica.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Construção do cronograma de atividades a serem desenvolvidas até o final da Residência.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 da montagem de um vocabulário com termos e definições relacionadas à temática de MLOps.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Observação: [caso precise fazer alguma observação, de qualquer “natureza”]</w:t>
      </w:r>
    </w:p>
    <w:tbl>
      <w:tblPr>
        <w:tblStyle w:val="Table4"/>
        <w:tblW w:w="9211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1.661417322835"/>
        <w:tblGridChange w:id="0">
          <w:tblGrid>
            <w:gridCol w:w="9211.66141732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565.8661417322827" w:firstLine="0"/>
        <w:rPr>
          <w:b w:val="1"/>
          <w:color w:val="0b5394"/>
          <w:sz w:val="6"/>
          <w:szCs w:val="6"/>
          <w:shd w:fill="0b5394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08.6614173228347" w:firstLine="0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ACEITE DA ENTREGA:</w:t>
      </w:r>
    </w:p>
    <w:p w:rsidR="00000000" w:rsidDel="00000000" w:rsidP="00000000" w:rsidRDefault="00000000" w:rsidRPr="00000000" w14:paraId="00000031">
      <w:pPr>
        <w:ind w:left="-708.6614173228347" w:firstLine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08.6614173228347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CEDRIC LUIZ DE CARVALHO:   </w:t>
      </w:r>
      <w:r w:rsidDel="00000000" w:rsidR="00000000" w:rsidRPr="00000000">
        <w:rPr>
          <w:rFonts w:ascii="Calibri" w:cs="Calibri" w:eastAsia="Calibri" w:hAnsi="Calibri"/>
          <w:b w:val="1"/>
          <w:shd w:fill="auto" w:val="clear"/>
          <w:rtl w:val="0"/>
        </w:rPr>
        <w:t xml:space="preserve">Em análise!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8.6614173228347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08.661417322834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LUANA GUEDES BARROS MARTINS:   </w:t>
      </w:r>
      <w:r w:rsidDel="00000000" w:rsidR="00000000" w:rsidRPr="00000000">
        <w:rPr>
          <w:rFonts w:ascii="Calibri" w:cs="Calibri" w:eastAsia="Calibri" w:hAnsi="Calibri"/>
          <w:b w:val="1"/>
          <w:shd w:fill="auto" w:val="clear"/>
          <w:rtl w:val="0"/>
        </w:rPr>
        <w:t xml:space="preserve">Em análise!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first"/>
      <w:pgSz w:h="16834" w:w="11909" w:orient="portrait"/>
      <w:pgMar w:bottom="1440" w:top="1440" w:left="1440" w:right="1966.0629921259856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5296820</wp:posOffset>
          </wp:positionH>
          <wp:positionV relativeFrom="page">
            <wp:posOffset>266700</wp:posOffset>
          </wp:positionV>
          <wp:extent cx="1188500" cy="581955"/>
          <wp:effectExtent b="0" l="0" r="0" t="0"/>
          <wp:wrapSquare wrapText="bothSides" distB="0" distT="0" distL="0" distR="0"/>
          <wp:docPr id="1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500" cy="5819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16"/>
        <w:szCs w:val="16"/>
        <w:rtl w:val="0"/>
      </w:rPr>
      <w:t xml:space="preserve">MINISTÉRIO DA EDUCAÇÃO</w:t>
    </w:r>
  </w:p>
  <w:p w:rsidR="00000000" w:rsidDel="00000000" w:rsidP="00000000" w:rsidRDefault="00000000" w:rsidRPr="00000000" w14:paraId="00000036">
    <w:pPr>
      <w:ind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UNIVERSIDADE FEDERAL DE GOIÁS</w:t>
    </w:r>
  </w:p>
  <w:p w:rsidR="00000000" w:rsidDel="00000000" w:rsidP="00000000" w:rsidRDefault="00000000" w:rsidRPr="00000000" w14:paraId="00000037">
    <w:pPr>
      <w:ind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INSTITUTO DE INFORMÁTICA</w:t>
    </w:r>
  </w:p>
  <w:p w:rsidR="00000000" w:rsidDel="00000000" w:rsidP="00000000" w:rsidRDefault="00000000" w:rsidRPr="00000000" w14:paraId="00000038">
    <w:pPr>
      <w:ind w:right="-749.5275590551165" w:firstLine="0"/>
      <w:rPr>
        <w:b w:val="1"/>
        <w:sz w:val="16"/>
        <w:szCs w:val="16"/>
      </w:rPr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40725" cy="54520"/>
              <wp:effectExtent b="0" l="0" r="0" t="0"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7700" y="3753450"/>
                        <a:ext cx="9696600" cy="531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 cap="flat" cmpd="sng" w="9525">
                        <a:solidFill>
                          <a:srgbClr val="0B539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40725" cy="54520"/>
              <wp:effectExtent b="0" l="0" r="0" t="0"/>
              <wp:docPr id="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0725" cy="5452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yperlink" Target="https://docs.google.com/spreadsheets/d/1SA2-s5X5U6dmyC2N0XpDzmfCO0eIQKutO1tDGO-eHLg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15sZCi4xfx1ZNI6Zmv2PWAb9Kg==">CgMxLjA4AHIhMVIwV2hBRExsam40TWxzR1RabU5hSmxxTDIxM05MOFpW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