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72625">
      <w:pPr>
        <w:pStyle w:val="2"/>
        <w:keepNext w:val="0"/>
        <w:keepLines w:val="0"/>
        <w:widowControl/>
        <w:suppressLineNumbers w:val="0"/>
        <w:rPr>
          <w:rFonts w:hint="default"/>
          <w:color w:val="C55A11" w:themeColor="accent2" w:themeShade="BF"/>
          <w:sz w:val="56"/>
          <w:szCs w:val="56"/>
          <w:u w:val="single"/>
          <w:lang w:val="en-US"/>
        </w:rPr>
      </w:pPr>
      <w:bookmarkStart w:id="0" w:name="_Toc1257479521"/>
      <w:r>
        <w:rPr>
          <w:rFonts w:hint="default"/>
          <w:color w:val="C55A11" w:themeColor="accent2" w:themeShade="BF"/>
          <w:sz w:val="56"/>
          <w:szCs w:val="56"/>
          <w:u w:val="single"/>
          <w:lang w:val="en-US"/>
        </w:rPr>
        <w:t>DIGITAL BOOK SYSTEM</w:t>
      </w:r>
      <w:bookmarkEnd w:id="0"/>
    </w:p>
    <w:p w14:paraId="18399EBC">
      <w:pPr>
        <w:rPr>
          <w:rFonts w:hint="default"/>
          <w:lang w:val="en-US"/>
        </w:rPr>
      </w:pPr>
    </w:p>
    <w:p w14:paraId="7E7066B8">
      <w:pPr>
        <w:rPr>
          <w:rFonts w:hint="default"/>
          <w:lang w:val="en-US"/>
        </w:rPr>
      </w:pPr>
    </w:p>
    <w:p w14:paraId="17448DB7">
      <w:pPr>
        <w:rPr>
          <w:rFonts w:hint="default"/>
          <w:lang w:val="en-US"/>
        </w:rPr>
      </w:pPr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599319991"/>
        <w15:color w:val="DBDBDB"/>
        <w:docPartObj>
          <w:docPartGallery w:val="Table of Contents"/>
          <w:docPartUnique/>
        </w:docPartObj>
      </w:sdtPr>
      <w:sdtEndPr>
        <w:rPr>
          <w:rFonts w:hint="eastAsia" w:ascii="SimSun" w:hAnsi="SimSun" w:eastAsia="SimSun" w:cs="SimSun"/>
          <w:b/>
          <w:bCs/>
          <w:color w:val="2E75B6" w:themeColor="accent1" w:themeShade="BF"/>
          <w:kern w:val="0"/>
          <w:sz w:val="32"/>
          <w:szCs w:val="32"/>
          <w:lang w:val="en-US" w:eastAsia="zh-CN" w:bidi="ar"/>
        </w:rPr>
      </w:sdtEndPr>
      <w:sdtContent>
        <w:p w14:paraId="1157085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Catalog</w:t>
          </w:r>
        </w:p>
        <w:p w14:paraId="73B3D8D0">
          <w:pPr>
            <w:pStyle w:val="10"/>
            <w:tabs>
              <w:tab w:val="right" w:leader="dot" w:pos="8306"/>
            </w:tabs>
            <w:rPr>
              <w:color w:val="2E75B6" w:themeColor="accent1" w:themeShade="BF"/>
              <w:sz w:val="32"/>
              <w:szCs w:val="32"/>
            </w:rPr>
          </w:pP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TOC \o "1-3" \h \u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HYPERLINK \l _Toc1257479521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rFonts w:hint="default"/>
              <w:color w:val="2E75B6" w:themeColor="accent1" w:themeShade="BF"/>
              <w:sz w:val="32"/>
              <w:szCs w:val="32"/>
              <w:lang w:val="en-US"/>
            </w:rPr>
            <w:t>DIGITAL BOPOK SYSTEM.</w:t>
          </w:r>
          <w:r>
            <w:rPr>
              <w:color w:val="2E75B6" w:themeColor="accent1" w:themeShade="BF"/>
              <w:sz w:val="32"/>
              <w:szCs w:val="32"/>
            </w:rPr>
            <w:tab/>
          </w: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PAGEREF _Toc1257479521 \h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1</w:t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</w:p>
        <w:p w14:paraId="2B7266B8">
          <w:pPr>
            <w:pStyle w:val="10"/>
            <w:tabs>
              <w:tab w:val="right" w:leader="dot" w:pos="8306"/>
            </w:tabs>
            <w:rPr>
              <w:color w:val="2E75B6" w:themeColor="accent1" w:themeShade="BF"/>
              <w:sz w:val="32"/>
              <w:szCs w:val="32"/>
            </w:rPr>
          </w:pP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HYPERLINK \l _Toc1071739320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 xml:space="preserve">I. </w:t>
          </w:r>
          <w:r>
            <w:rPr>
              <w:rFonts w:hint="default"/>
              <w:color w:val="2E75B6" w:themeColor="accent1" w:themeShade="BF"/>
              <w:sz w:val="32"/>
              <w:szCs w:val="32"/>
              <w:lang w:val="en-US"/>
            </w:rPr>
            <w:t>Introduction.</w:t>
          </w:r>
          <w:r>
            <w:rPr>
              <w:color w:val="2E75B6" w:themeColor="accent1" w:themeShade="BF"/>
              <w:sz w:val="32"/>
              <w:szCs w:val="32"/>
            </w:rPr>
            <w:tab/>
          </w: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PAGEREF _Toc1071739320 \h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1</w:t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</w:p>
        <w:p w14:paraId="03227CA1">
          <w:pPr>
            <w:pStyle w:val="10"/>
            <w:tabs>
              <w:tab w:val="right" w:leader="dot" w:pos="8306"/>
            </w:tabs>
            <w:rPr>
              <w:color w:val="2E75B6" w:themeColor="accent1" w:themeShade="BF"/>
              <w:sz w:val="32"/>
              <w:szCs w:val="32"/>
            </w:rPr>
          </w:pP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HYPERLINK \l _Toc1777403851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II. Problem and Solution</w:t>
          </w:r>
          <w:r>
            <w:rPr>
              <w:color w:val="2E75B6" w:themeColor="accent1" w:themeShade="BF"/>
              <w:sz w:val="32"/>
              <w:szCs w:val="32"/>
            </w:rPr>
            <w:tab/>
          </w: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PAGEREF _Toc1777403851 \h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1</w:t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</w:p>
        <w:p w14:paraId="0CDD6703">
          <w:pPr>
            <w:pStyle w:val="11"/>
            <w:tabs>
              <w:tab w:val="right" w:leader="dot" w:pos="8306"/>
            </w:tabs>
            <w:rPr>
              <w:color w:val="2E75B6" w:themeColor="accent1" w:themeShade="BF"/>
              <w:sz w:val="32"/>
              <w:szCs w:val="32"/>
            </w:rPr>
          </w:pP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HYPERLINK \l _Toc1328993987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Problem Statement</w:t>
          </w:r>
          <w:r>
            <w:rPr>
              <w:color w:val="2E75B6" w:themeColor="accent1" w:themeShade="BF"/>
              <w:sz w:val="32"/>
              <w:szCs w:val="32"/>
            </w:rPr>
            <w:tab/>
          </w: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PAGEREF _Toc1328993987 \h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2</w:t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</w:p>
        <w:p w14:paraId="705FE17E">
          <w:pPr>
            <w:pStyle w:val="11"/>
            <w:tabs>
              <w:tab w:val="right" w:leader="dot" w:pos="8306"/>
            </w:tabs>
            <w:rPr>
              <w:color w:val="2E75B6" w:themeColor="accent1" w:themeShade="BF"/>
              <w:sz w:val="32"/>
              <w:szCs w:val="32"/>
            </w:rPr>
          </w:pP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HYPERLINK \l _Toc424527062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Solution:</w:t>
          </w:r>
          <w:r>
            <w:rPr>
              <w:color w:val="2E75B6" w:themeColor="accent1" w:themeShade="BF"/>
              <w:sz w:val="32"/>
              <w:szCs w:val="32"/>
            </w:rPr>
            <w:tab/>
          </w: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PAGEREF _Toc424527062 \h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2</w:t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</w:p>
        <w:p w14:paraId="246E745C">
          <w:pPr>
            <w:pStyle w:val="11"/>
            <w:tabs>
              <w:tab w:val="right" w:leader="dot" w:pos="8306"/>
            </w:tabs>
            <w:rPr>
              <w:color w:val="2E75B6" w:themeColor="accent1" w:themeShade="BF"/>
              <w:sz w:val="32"/>
              <w:szCs w:val="32"/>
            </w:rPr>
          </w:pP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HYPERLINK \l _Toc1085655700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Impact and Value Proposition</w:t>
          </w:r>
          <w:r>
            <w:rPr>
              <w:color w:val="2E75B6" w:themeColor="accent1" w:themeShade="BF"/>
              <w:sz w:val="32"/>
              <w:szCs w:val="32"/>
            </w:rPr>
            <w:tab/>
          </w: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PAGEREF _Toc1085655700 \h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2</w:t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</w:p>
        <w:p w14:paraId="362D3B45">
          <w:pPr>
            <w:pStyle w:val="10"/>
            <w:tabs>
              <w:tab w:val="right" w:leader="dot" w:pos="8306"/>
            </w:tabs>
            <w:rPr>
              <w:color w:val="2E75B6" w:themeColor="accent1" w:themeShade="BF"/>
              <w:sz w:val="32"/>
              <w:szCs w:val="32"/>
            </w:rPr>
          </w:pP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HYPERLINK \l _Toc1594284988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III. System Design and Architecture</w:t>
          </w:r>
          <w:r>
            <w:rPr>
              <w:color w:val="2E75B6" w:themeColor="accent1" w:themeShade="BF"/>
              <w:sz w:val="32"/>
              <w:szCs w:val="32"/>
            </w:rPr>
            <w:tab/>
          </w: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PAGEREF _Toc1594284988 \h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2</w:t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</w:p>
        <w:p w14:paraId="72E9AEAF">
          <w:pPr>
            <w:pStyle w:val="11"/>
            <w:tabs>
              <w:tab w:val="right" w:leader="dot" w:pos="8306"/>
            </w:tabs>
            <w:rPr>
              <w:color w:val="2E75B6" w:themeColor="accent1" w:themeShade="BF"/>
              <w:sz w:val="32"/>
              <w:szCs w:val="32"/>
            </w:rPr>
          </w:pP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HYPERLINK \l _Toc994329697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Architecture Diagram</w:t>
          </w:r>
          <w:r>
            <w:rPr>
              <w:rFonts w:hint="default"/>
              <w:color w:val="2E75B6" w:themeColor="accent1" w:themeShade="BF"/>
              <w:sz w:val="32"/>
              <w:szCs w:val="32"/>
              <w:lang w:val="en-US"/>
            </w:rPr>
            <w:t>.</w:t>
          </w:r>
          <w:r>
            <w:rPr>
              <w:color w:val="2E75B6" w:themeColor="accent1" w:themeShade="BF"/>
              <w:sz w:val="32"/>
              <w:szCs w:val="32"/>
            </w:rPr>
            <w:tab/>
          </w: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PAGEREF _Toc994329697 \h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2</w:t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</w:p>
        <w:p w14:paraId="18840D87">
          <w:pPr>
            <w:pStyle w:val="11"/>
            <w:tabs>
              <w:tab w:val="right" w:leader="dot" w:pos="8306"/>
            </w:tabs>
            <w:rPr>
              <w:color w:val="2E75B6" w:themeColor="accent1" w:themeShade="BF"/>
              <w:sz w:val="32"/>
              <w:szCs w:val="32"/>
            </w:rPr>
          </w:pP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HYPERLINK \l _Toc2128960172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Architectural Components</w:t>
          </w:r>
          <w:r>
            <w:rPr>
              <w:color w:val="2E75B6" w:themeColor="accent1" w:themeShade="BF"/>
              <w:sz w:val="32"/>
              <w:szCs w:val="32"/>
            </w:rPr>
            <w:tab/>
          </w: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PAGEREF _Toc2128960172 \h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3</w:t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</w:p>
        <w:p w14:paraId="58BFDBC7">
          <w:pPr>
            <w:pStyle w:val="10"/>
            <w:tabs>
              <w:tab w:val="right" w:leader="dot" w:pos="8306"/>
            </w:tabs>
            <w:rPr>
              <w:color w:val="2E75B6" w:themeColor="accent1" w:themeShade="BF"/>
              <w:sz w:val="32"/>
              <w:szCs w:val="32"/>
            </w:rPr>
          </w:pP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HYPERLINK \l _Toc61084490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IV. Data Model and Process Flow</w:t>
          </w:r>
          <w:r>
            <w:rPr>
              <w:color w:val="2E75B6" w:themeColor="accent1" w:themeShade="BF"/>
              <w:sz w:val="32"/>
              <w:szCs w:val="32"/>
            </w:rPr>
            <w:tab/>
          </w: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PAGEREF _Toc61084490 \h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3</w:t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</w:p>
        <w:p w14:paraId="60C82C9E">
          <w:pPr>
            <w:pStyle w:val="11"/>
            <w:tabs>
              <w:tab w:val="right" w:leader="dot" w:pos="8306"/>
            </w:tabs>
            <w:rPr>
              <w:color w:val="2E75B6" w:themeColor="accent1" w:themeShade="BF"/>
              <w:sz w:val="32"/>
              <w:szCs w:val="32"/>
            </w:rPr>
          </w:pP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HYPERLINK \l _Toc149840164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On-chain Data Model</w:t>
          </w:r>
          <w:r>
            <w:rPr>
              <w:color w:val="2E75B6" w:themeColor="accent1" w:themeShade="BF"/>
              <w:sz w:val="32"/>
              <w:szCs w:val="32"/>
            </w:rPr>
            <w:tab/>
          </w: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PAGEREF _Toc149840164 \h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3</w:t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</w:p>
        <w:p w14:paraId="4338FFC1">
          <w:pPr>
            <w:pStyle w:val="11"/>
            <w:tabs>
              <w:tab w:val="right" w:leader="dot" w:pos="8306"/>
            </w:tabs>
            <w:rPr>
              <w:color w:val="2E75B6" w:themeColor="accent1" w:themeShade="BF"/>
              <w:sz w:val="32"/>
              <w:szCs w:val="32"/>
            </w:rPr>
          </w:pP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HYPERLINK \l _Toc1512802064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Core Workflow: Book Registration</w:t>
          </w:r>
          <w:r>
            <w:rPr>
              <w:color w:val="2E75B6" w:themeColor="accent1" w:themeShade="BF"/>
              <w:sz w:val="32"/>
              <w:szCs w:val="32"/>
            </w:rPr>
            <w:tab/>
          </w: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PAGEREF _Toc1512802064 \h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4</w:t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</w:p>
        <w:p w14:paraId="4CA683CE">
          <w:pPr>
            <w:pStyle w:val="10"/>
            <w:tabs>
              <w:tab w:val="right" w:leader="dot" w:pos="8306"/>
            </w:tabs>
            <w:rPr>
              <w:color w:val="2E75B6" w:themeColor="accent1" w:themeShade="BF"/>
              <w:sz w:val="32"/>
              <w:szCs w:val="32"/>
            </w:rPr>
          </w:pP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HYPERLINK \l _Toc1605392815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V. Testing, Risks, and Future Work</w:t>
          </w:r>
          <w:r>
            <w:rPr>
              <w:color w:val="2E75B6" w:themeColor="accent1" w:themeShade="BF"/>
              <w:sz w:val="32"/>
              <w:szCs w:val="32"/>
            </w:rPr>
            <w:tab/>
          </w: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PAGEREF _Toc1605392815 \h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4</w:t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</w:p>
        <w:p w14:paraId="7D7C5CED">
          <w:pPr>
            <w:pStyle w:val="11"/>
            <w:tabs>
              <w:tab w:val="right" w:leader="dot" w:pos="8306"/>
            </w:tabs>
            <w:rPr>
              <w:color w:val="2E75B6" w:themeColor="accent1" w:themeShade="BF"/>
              <w:sz w:val="32"/>
              <w:szCs w:val="32"/>
            </w:rPr>
          </w:pP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HYPERLINK \l _Toc852500797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Test Summary</w:t>
          </w:r>
          <w:r>
            <w:rPr>
              <w:color w:val="2E75B6" w:themeColor="accent1" w:themeShade="BF"/>
              <w:sz w:val="32"/>
              <w:szCs w:val="32"/>
            </w:rPr>
            <w:tab/>
          </w: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PAGEREF _Toc852500797 \h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4</w:t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</w:p>
        <w:p w14:paraId="045A932E">
          <w:pPr>
            <w:pStyle w:val="11"/>
            <w:tabs>
              <w:tab w:val="right" w:leader="dot" w:pos="8306"/>
            </w:tabs>
            <w:rPr>
              <w:color w:val="2E75B6" w:themeColor="accent1" w:themeShade="BF"/>
              <w:sz w:val="32"/>
              <w:szCs w:val="32"/>
            </w:rPr>
          </w:pP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HYPERLINK \l _Toc2117486042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Risks &amp; Mitigations</w:t>
          </w:r>
          <w:r>
            <w:rPr>
              <w:color w:val="2E75B6" w:themeColor="accent1" w:themeShade="BF"/>
              <w:sz w:val="32"/>
              <w:szCs w:val="32"/>
            </w:rPr>
            <w:tab/>
          </w: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PAGEREF _Toc2117486042 \h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5</w:t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</w:p>
        <w:p w14:paraId="1492E83A">
          <w:pPr>
            <w:pStyle w:val="11"/>
            <w:tabs>
              <w:tab w:val="right" w:leader="dot" w:pos="8306"/>
            </w:tabs>
            <w:rPr>
              <w:color w:val="2E75B6" w:themeColor="accent1" w:themeShade="BF"/>
              <w:sz w:val="32"/>
              <w:szCs w:val="32"/>
            </w:rPr>
          </w:pP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HYPERLINK \l _Toc488909810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Limitations</w:t>
          </w:r>
          <w:r>
            <w:rPr>
              <w:color w:val="2E75B6" w:themeColor="accent1" w:themeShade="BF"/>
              <w:sz w:val="32"/>
              <w:szCs w:val="32"/>
            </w:rPr>
            <w:tab/>
          </w: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PAGEREF _Toc488909810 \h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5</w:t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</w:p>
        <w:p w14:paraId="00C9D6A4">
          <w:pPr>
            <w:pStyle w:val="11"/>
            <w:tabs>
              <w:tab w:val="right" w:leader="dot" w:pos="8306"/>
            </w:tabs>
            <w:rPr>
              <w:color w:val="2E75B6" w:themeColor="accent1" w:themeShade="BF"/>
              <w:sz w:val="32"/>
              <w:szCs w:val="32"/>
            </w:rPr>
          </w:pP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HYPERLINK \l _Toc834743248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Future Work and Expansion</w:t>
          </w:r>
          <w:r>
            <w:rPr>
              <w:color w:val="2E75B6" w:themeColor="accent1" w:themeShade="BF"/>
              <w:sz w:val="32"/>
              <w:szCs w:val="32"/>
            </w:rPr>
            <w:tab/>
          </w: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PAGEREF _Toc834743248 \h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5</w:t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</w:p>
        <w:p w14:paraId="57AA1C89">
          <w:pPr>
            <w:pStyle w:val="10"/>
            <w:tabs>
              <w:tab w:val="right" w:leader="dot" w:pos="8306"/>
            </w:tabs>
            <w:rPr>
              <w:color w:val="2E75B6" w:themeColor="accent1" w:themeShade="BF"/>
              <w:sz w:val="32"/>
              <w:szCs w:val="32"/>
            </w:rPr>
          </w:pP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HYPERLINK \l _Toc19103285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rFonts w:hint="default"/>
              <w:color w:val="2E75B6" w:themeColor="accent1" w:themeShade="BF"/>
              <w:sz w:val="32"/>
              <w:szCs w:val="32"/>
              <w:lang w:val="en-US"/>
            </w:rPr>
            <w:t>SYSTEM  MANUAL.</w:t>
          </w:r>
          <w:r>
            <w:rPr>
              <w:color w:val="2E75B6" w:themeColor="accent1" w:themeShade="BF"/>
              <w:sz w:val="32"/>
              <w:szCs w:val="32"/>
            </w:rPr>
            <w:tab/>
          </w: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PAGEREF _Toc19103285 \h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6</w:t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</w:p>
        <w:p w14:paraId="397EBFE9">
          <w:pPr>
            <w:pStyle w:val="10"/>
            <w:tabs>
              <w:tab w:val="right" w:leader="dot" w:pos="8306"/>
            </w:tabs>
            <w:rPr>
              <w:color w:val="2E75B6" w:themeColor="accent1" w:themeShade="BF"/>
              <w:sz w:val="32"/>
              <w:szCs w:val="32"/>
            </w:rPr>
          </w:pP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HYPERLINK \l _Toc1093847592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1. Access and Control (Login &amp; Dashboard)</w:t>
          </w:r>
          <w:r>
            <w:rPr>
              <w:color w:val="2E75B6" w:themeColor="accent1" w:themeShade="BF"/>
              <w:sz w:val="32"/>
              <w:szCs w:val="32"/>
            </w:rPr>
            <w:tab/>
          </w: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PAGEREF _Toc1093847592 \h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6</w:t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</w:p>
        <w:p w14:paraId="047452D7">
          <w:pPr>
            <w:pStyle w:val="10"/>
            <w:tabs>
              <w:tab w:val="right" w:leader="dot" w:pos="8306"/>
            </w:tabs>
            <w:rPr>
              <w:color w:val="2E75B6" w:themeColor="accent1" w:themeShade="BF"/>
              <w:sz w:val="32"/>
              <w:szCs w:val="32"/>
            </w:rPr>
          </w:pP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HYPERLINK \l _Toc1836460424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rFonts w:hint="default"/>
              <w:color w:val="2E75B6" w:themeColor="accent1" w:themeShade="BF"/>
              <w:sz w:val="32"/>
              <w:szCs w:val="32"/>
              <w:lang w:val="en-US"/>
            </w:rPr>
            <w:t>2.</w:t>
          </w:r>
          <w:r>
            <w:rPr>
              <w:color w:val="2E75B6" w:themeColor="accent1" w:themeShade="BF"/>
              <w:sz w:val="32"/>
              <w:szCs w:val="32"/>
            </w:rPr>
            <w:t>Incident Tracking and Reporting</w:t>
          </w:r>
          <w:r>
            <w:rPr>
              <w:color w:val="2E75B6" w:themeColor="accent1" w:themeShade="BF"/>
              <w:sz w:val="32"/>
              <w:szCs w:val="32"/>
            </w:rPr>
            <w:tab/>
          </w: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PAGEREF _Toc1836460424 \h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7</w:t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</w:p>
        <w:p w14:paraId="786217AA">
          <w:pPr>
            <w:pStyle w:val="10"/>
            <w:tabs>
              <w:tab w:val="right" w:leader="dot" w:pos="8306"/>
            </w:tabs>
            <w:rPr>
              <w:color w:val="2E75B6" w:themeColor="accent1" w:themeShade="BF"/>
              <w:sz w:val="32"/>
              <w:szCs w:val="32"/>
            </w:rPr>
          </w:pP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HYPERLINK \l _Toc1755371484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rFonts w:hint="default"/>
              <w:color w:val="2E75B6" w:themeColor="accent1" w:themeShade="BF"/>
              <w:sz w:val="32"/>
              <w:szCs w:val="32"/>
              <w:lang w:val="en-US"/>
            </w:rPr>
            <w:t>3.</w:t>
          </w:r>
          <w:r>
            <w:rPr>
              <w:color w:val="2E75B6" w:themeColor="accent1" w:themeShade="BF"/>
              <w:sz w:val="32"/>
              <w:szCs w:val="32"/>
            </w:rPr>
            <w:t>Legal Documentation and Charge Sheet Generation</w:t>
          </w:r>
          <w:r>
            <w:rPr>
              <w:color w:val="2E75B6" w:themeColor="accent1" w:themeShade="BF"/>
              <w:sz w:val="32"/>
              <w:szCs w:val="32"/>
            </w:rPr>
            <w:tab/>
          </w: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PAGEREF _Toc1755371484 \h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9</w:t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</w:p>
        <w:p w14:paraId="489022ED">
          <w:pPr>
            <w:pStyle w:val="10"/>
            <w:tabs>
              <w:tab w:val="right" w:leader="dot" w:pos="8306"/>
            </w:tabs>
            <w:rPr>
              <w:color w:val="2E75B6" w:themeColor="accent1" w:themeShade="BF"/>
              <w:sz w:val="32"/>
              <w:szCs w:val="32"/>
            </w:rPr>
          </w:pP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HYPERLINK \l _Toc398189102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rFonts w:hint="default"/>
              <w:color w:val="2E75B6" w:themeColor="accent1" w:themeShade="BF"/>
              <w:sz w:val="32"/>
              <w:szCs w:val="32"/>
              <w:lang w:val="en-US"/>
            </w:rPr>
            <w:t>4.</w:t>
          </w:r>
          <w:r>
            <w:rPr>
              <w:color w:val="2E75B6" w:themeColor="accent1" w:themeShade="BF"/>
              <w:sz w:val="32"/>
              <w:szCs w:val="32"/>
            </w:rPr>
            <w:t>Final Charge Sheet Output</w:t>
          </w:r>
          <w:r>
            <w:rPr>
              <w:color w:val="2E75B6" w:themeColor="accent1" w:themeShade="BF"/>
              <w:sz w:val="32"/>
              <w:szCs w:val="32"/>
            </w:rPr>
            <w:tab/>
          </w:r>
          <w:r>
            <w:rPr>
              <w:color w:val="2E75B6" w:themeColor="accent1" w:themeShade="BF"/>
              <w:sz w:val="32"/>
              <w:szCs w:val="32"/>
            </w:rPr>
            <w:fldChar w:fldCharType="begin"/>
          </w:r>
          <w:r>
            <w:rPr>
              <w:color w:val="2E75B6" w:themeColor="accent1" w:themeShade="BF"/>
              <w:sz w:val="32"/>
              <w:szCs w:val="32"/>
            </w:rPr>
            <w:instrText xml:space="preserve"> PAGEREF _Toc398189102 \h </w:instrText>
          </w:r>
          <w:r>
            <w:rPr>
              <w:color w:val="2E75B6" w:themeColor="accent1" w:themeShade="BF"/>
              <w:sz w:val="32"/>
              <w:szCs w:val="32"/>
            </w:rPr>
            <w:fldChar w:fldCharType="separate"/>
          </w:r>
          <w:r>
            <w:rPr>
              <w:color w:val="2E75B6" w:themeColor="accent1" w:themeShade="BF"/>
              <w:sz w:val="32"/>
              <w:szCs w:val="32"/>
            </w:rPr>
            <w:t>10</w:t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  <w:r>
            <w:rPr>
              <w:color w:val="2E75B6" w:themeColor="accent1" w:themeShade="BF"/>
              <w:sz w:val="32"/>
              <w:szCs w:val="32"/>
            </w:rPr>
            <w:fldChar w:fldCharType="end"/>
          </w:r>
        </w:p>
        <w:p w14:paraId="12C11C32">
          <w:pPr>
            <w:pStyle w:val="2"/>
            <w:keepNext w:val="0"/>
            <w:keepLines w:val="0"/>
            <w:widowControl/>
            <w:suppressLineNumbers w:val="0"/>
            <w:outlineLvl w:val="9"/>
            <w:rPr>
              <w:rFonts w:hint="eastAsia" w:ascii="SimSun" w:hAnsi="SimSun" w:eastAsia="SimSun" w:cs="SimSun"/>
              <w:b/>
              <w:bCs/>
              <w:color w:val="2E75B6" w:themeColor="accent1" w:themeShade="BF"/>
              <w:kern w:val="0"/>
              <w:sz w:val="32"/>
              <w:szCs w:val="32"/>
              <w:lang w:val="en-US" w:eastAsia="zh-CN" w:bidi="ar"/>
            </w:rPr>
          </w:pPr>
          <w:r>
            <w:rPr>
              <w:color w:val="2E75B6" w:themeColor="accent1" w:themeShade="BF"/>
              <w:sz w:val="32"/>
              <w:szCs w:val="32"/>
            </w:rPr>
            <w:fldChar w:fldCharType="end"/>
          </w:r>
        </w:p>
      </w:sdtContent>
    </w:sdt>
    <w:p w14:paraId="5DF88A56"/>
    <w:p w14:paraId="1E2334D2"/>
    <w:p w14:paraId="55AE652C"/>
    <w:p w14:paraId="5E2BD8E6"/>
    <w:p w14:paraId="51F12184"/>
    <w:p w14:paraId="41FF4C3C"/>
    <w:p w14:paraId="41105053"/>
    <w:p w14:paraId="0DBC827E"/>
    <w:p w14:paraId="7593684E"/>
    <w:p w14:paraId="31D1D5AA"/>
    <w:p w14:paraId="66E2835D"/>
    <w:p w14:paraId="26C802A2"/>
    <w:p w14:paraId="6DBB1C70"/>
    <w:p w14:paraId="426E29E7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bookmarkStart w:id="1" w:name="_Toc1071739320"/>
      <w:r>
        <w:t xml:space="preserve">I. </w:t>
      </w:r>
      <w:r>
        <w:rPr>
          <w:rFonts w:hint="default"/>
          <w:lang w:val="en-US"/>
        </w:rPr>
        <w:t>Introduction.</w:t>
      </w:r>
      <w:bookmarkEnd w:id="1"/>
    </w:p>
    <w:p w14:paraId="5D0669F4">
      <w:pPr>
        <w:pStyle w:val="8"/>
        <w:keepNext w:val="0"/>
        <w:keepLines w:val="0"/>
        <w:widowControl/>
        <w:suppressLineNumbers w:val="0"/>
      </w:pPr>
      <w:r>
        <w:t xml:space="preserve">This project proposes a novel approach to digital content management by replacing centralized server reliance with a distributed blockchain ledger. </w:t>
      </w:r>
    </w:p>
    <w:p w14:paraId="22848C8D">
      <w:pPr>
        <w:pStyle w:val="8"/>
        <w:keepNext w:val="0"/>
        <w:keepLines w:val="0"/>
        <w:widowControl/>
        <w:suppressLineNumbers w:val="0"/>
      </w:pPr>
      <w:r>
        <w:t xml:space="preserve">The core issue—lack of verifiable ownership and content integrity in traditional digital books—is solved by tokenizing book ownership (Non-Fungible Tokens or similar structures) and utilizing cryptographic hashing to guarantee content authenticity. </w:t>
      </w:r>
    </w:p>
    <w:p w14:paraId="1785943C">
      <w:pPr>
        <w:pStyle w:val="8"/>
        <w:keepNext w:val="0"/>
        <w:keepLines w:val="0"/>
        <w:widowControl/>
        <w:suppressLineNumbers w:val="0"/>
      </w:pPr>
      <w:r>
        <w:t>The resulting system promises enhanced trust, secure peer-to-peer sharing capabilities (lending), and transparent royalty distribution for authors.</w:t>
      </w:r>
    </w:p>
    <w:p w14:paraId="7B6CB888">
      <w:pPr>
        <w:pStyle w:val="8"/>
        <w:keepNext w:val="0"/>
        <w:keepLines w:val="0"/>
        <w:widowControl/>
        <w:suppressLineNumbers w:val="0"/>
      </w:pPr>
    </w:p>
    <w:p w14:paraId="0B455BA6">
      <w:pPr>
        <w:pStyle w:val="2"/>
        <w:keepNext w:val="0"/>
        <w:keepLines w:val="0"/>
        <w:widowControl/>
        <w:suppressLineNumbers w:val="0"/>
      </w:pPr>
      <w:bookmarkStart w:id="2" w:name="_Toc1777403851"/>
      <w:r>
        <w:t>II. Problem and Solution</w:t>
      </w:r>
      <w:bookmarkEnd w:id="2"/>
    </w:p>
    <w:p w14:paraId="3CE36F26">
      <w:pPr>
        <w:pStyle w:val="3"/>
        <w:keepNext w:val="0"/>
        <w:keepLines w:val="0"/>
        <w:widowControl/>
        <w:suppressLineNumbers w:val="0"/>
        <w:outlineLvl w:val="1"/>
      </w:pPr>
      <w:bookmarkStart w:id="3" w:name="_Toc1328993987"/>
      <w:r>
        <w:t>Problem Statement</w:t>
      </w:r>
      <w:bookmarkEnd w:id="3"/>
    </w:p>
    <w:p w14:paraId="4B726203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Traditional digital book systems rely on centralized servers, creating single points of failure that compromise user control, content integrity, and </w:t>
      </w:r>
      <w:r>
        <w:rPr>
          <w:lang w:val="en-US"/>
        </w:rPr>
        <w:t>trans</w:t>
      </w:r>
      <w:r>
        <w:rPr>
          <w:rFonts w:hint="default"/>
          <w:lang w:val="en-US"/>
        </w:rPr>
        <w:t>ac</w:t>
      </w:r>
      <w:r>
        <w:rPr>
          <w:lang w:val="en-US"/>
        </w:rPr>
        <w:t>tional</w:t>
      </w:r>
      <w:r>
        <w:t xml:space="preserve"> transparency</w:t>
      </w:r>
      <w:r>
        <w:rPr>
          <w:rFonts w:hint="default"/>
          <w:lang w:val="en-US"/>
        </w:rPr>
        <w:t>.</w:t>
      </w:r>
    </w:p>
    <w:p w14:paraId="318ADA90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9"/>
        </w:rPr>
        <w:t>Vulnerability:</w:t>
      </w:r>
      <w:r>
        <w:t xml:space="preserve"> Centralized databases are susceptible to data breaches,unauthorized modifications, and censorship.</w:t>
      </w:r>
    </w:p>
    <w:p w14:paraId="774137F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Ownership ambiguity:</w:t>
      </w:r>
      <w:r>
        <w:t xml:space="preserve"> Users only possess a license to read, not true verifiable ownership, limiting secondary market potential or lending rights.</w:t>
      </w:r>
    </w:p>
    <w:p w14:paraId="0E7DEC2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Lack of transparency:</w:t>
      </w:r>
      <w:r>
        <w:t xml:space="preserve"> Authors and publishers cannot reliably track the true usage, distribution, or resale history of their content.</w:t>
      </w:r>
    </w:p>
    <w:p w14:paraId="7F101181">
      <w:pPr>
        <w:pStyle w:val="3"/>
        <w:keepNext w:val="0"/>
        <w:keepLines w:val="0"/>
        <w:widowControl/>
        <w:suppressLineNumbers w:val="0"/>
        <w:outlineLvl w:val="0"/>
      </w:pPr>
      <w:bookmarkStart w:id="4" w:name="_Toc424527062"/>
      <w:r>
        <w:t>Solution:</w:t>
      </w:r>
      <w:bookmarkEnd w:id="4"/>
      <w:r>
        <w:t xml:space="preserve"> </w:t>
      </w:r>
    </w:p>
    <w:p w14:paraId="32D4649E">
      <w:pPr>
        <w:pStyle w:val="8"/>
        <w:keepNext w:val="0"/>
        <w:keepLines w:val="0"/>
        <w:widowControl/>
        <w:suppressLineNumbers w:val="0"/>
      </w:pPr>
      <w:r>
        <w:t>The Digital Book System leverages a smart contract platform (e.g., Ethereum, Polygon) to establish immutable, verifiable, and programmable ownership rights.</w:t>
      </w:r>
    </w:p>
    <w:p w14:paraId="1A248B3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9"/>
        </w:rPr>
        <w:t>Verifiable Ownership:</w:t>
      </w:r>
      <w:r>
        <w:t xml:space="preserve"> Each digital book copy is represented by a unique, transferable token (e.g., an ERC-721 NFT or a custom token standard) stored on the blockchain. This token proves who the current, legitimate owner is</w:t>
      </w:r>
      <w:r>
        <w:rPr>
          <w:rFonts w:hint="default"/>
          <w:lang w:val="en-US"/>
        </w:rPr>
        <w:t>.</w:t>
      </w:r>
    </w:p>
    <w:p w14:paraId="4A7BD64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9"/>
        </w:rPr>
        <w:t>Immutable Integrity:</w:t>
      </w:r>
      <w:r>
        <w:t xml:space="preserve"> When a book is uploaded, its content is stored on decentralized storage (IPFS), and a unique cryptographic hash is written </w:t>
      </w:r>
      <w:r>
        <w:rPr>
          <w:rStyle w:val="6"/>
        </w:rPr>
        <w:t>permanently</w:t>
      </w:r>
      <w:r>
        <w:t xml:space="preserve"> to the blockchain ledger. Any subsequent tampering with the file is immediately detectable because the file hash will no longer match the on-chain record.</w:t>
      </w:r>
    </w:p>
    <w:p w14:paraId="6E96401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9"/>
        </w:rPr>
        <w:t>Programmable Access:</w:t>
      </w:r>
      <w:r>
        <w:t xml:space="preserve"> Smart contracts define and automatically enforce rules for access (only the owner can unlock), transfer (sales), and temporary sharing (lending).</w:t>
      </w:r>
    </w:p>
    <w:p w14:paraId="088B48FF">
      <w:pPr>
        <w:pStyle w:val="3"/>
        <w:keepNext w:val="0"/>
        <w:keepLines w:val="0"/>
        <w:widowControl/>
        <w:suppressLineNumbers w:val="0"/>
        <w:outlineLvl w:val="0"/>
      </w:pPr>
      <w:bookmarkStart w:id="5" w:name="_Toc1085655700"/>
      <w:r>
        <w:t>Impact and Value Proposition</w:t>
      </w:r>
      <w:bookmarkEnd w:id="5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3"/>
        <w:gridCol w:w="6333"/>
      </w:tblGrid>
      <w:tr w14:paraId="1296410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61EFE1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0" w:type="auto"/>
            <w:shd w:val="clear"/>
            <w:vAlign w:val="center"/>
          </w:tcPr>
          <w:p w14:paraId="40FF0E15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Benefits</w:t>
            </w:r>
          </w:p>
        </w:tc>
      </w:tr>
      <w:tr w14:paraId="5D9B2FF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D626CC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Readers/Owners</w:t>
            </w:r>
          </w:p>
        </w:tc>
        <w:tc>
          <w:tcPr>
            <w:tcW w:w="0" w:type="auto"/>
            <w:shd w:val="clear"/>
            <w:vAlign w:val="center"/>
          </w:tcPr>
          <w:p w14:paraId="68B39EA0">
            <w:pPr>
              <w:pStyle w:val="8"/>
              <w:keepNext w:val="0"/>
              <w:keepLines w:val="0"/>
              <w:widowControl/>
              <w:suppressLineNumbers w:val="0"/>
            </w:pPr>
            <w:r>
              <w:t>True verifiable ownership, secure lending/sharing rights, guaranteed content authenticity.</w:t>
            </w:r>
          </w:p>
        </w:tc>
      </w:tr>
      <w:tr w14:paraId="2179785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AB13AE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Authors/Publishers</w:t>
            </w:r>
          </w:p>
        </w:tc>
        <w:tc>
          <w:tcPr>
            <w:tcW w:w="0" w:type="auto"/>
            <w:shd w:val="clear"/>
            <w:vAlign w:val="center"/>
          </w:tcPr>
          <w:p w14:paraId="19B7C242">
            <w:pPr>
              <w:pStyle w:val="8"/>
              <w:keepNext w:val="0"/>
              <w:keepLines w:val="0"/>
              <w:widowControl/>
              <w:suppressLineNumbers w:val="0"/>
            </w:pPr>
            <w:r>
              <w:t>Transparent, automated royalty payments, verifiable usage analytics, tamper-proof distribution.</w:t>
            </w:r>
          </w:p>
        </w:tc>
      </w:tr>
      <w:tr w14:paraId="47F4F34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5D3B5D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System</w:t>
            </w:r>
          </w:p>
        </w:tc>
        <w:tc>
          <w:tcPr>
            <w:tcW w:w="0" w:type="auto"/>
            <w:shd w:val="clear"/>
            <w:vAlign w:val="center"/>
          </w:tcPr>
          <w:p w14:paraId="0FF316D0">
            <w:pPr>
              <w:pStyle w:val="8"/>
              <w:keepNext w:val="0"/>
              <w:keepLines w:val="0"/>
              <w:widowControl/>
              <w:suppressLineNumbers w:val="0"/>
            </w:pPr>
            <w:r>
              <w:t>High integrity, censorship resistance, reduced operational risk due to decentralization.</w:t>
            </w:r>
          </w:p>
        </w:tc>
      </w:tr>
    </w:tbl>
    <w:p w14:paraId="714860B6">
      <w:pPr>
        <w:pStyle w:val="2"/>
        <w:keepNext w:val="0"/>
        <w:keepLines w:val="0"/>
        <w:widowControl/>
        <w:suppressLineNumbers w:val="0"/>
      </w:pPr>
      <w:bookmarkStart w:id="6" w:name="_Toc1594284988"/>
    </w:p>
    <w:p w14:paraId="51BB7CC8">
      <w:pPr>
        <w:pStyle w:val="2"/>
        <w:keepNext w:val="0"/>
        <w:keepLines w:val="0"/>
        <w:widowControl/>
        <w:suppressLineNumbers w:val="0"/>
      </w:pPr>
      <w:r>
        <w:t>III. System Design and Architecture</w:t>
      </w:r>
      <w:bookmarkEnd w:id="6"/>
    </w:p>
    <w:p w14:paraId="2AB0D71D">
      <w:pPr>
        <w:pStyle w:val="8"/>
        <w:keepNext w:val="0"/>
        <w:keepLines w:val="0"/>
        <w:widowControl/>
        <w:suppressLineNumbers w:val="0"/>
      </w:pPr>
      <w:r>
        <w:t>The system is split into three interacting layers: the Presentation Layer (Front-end), the Business/Logic Layer (Smart Contracts &amp; Middleware), and the Storage Layer (Blockchain &amp; Off-chain).</w:t>
      </w:r>
    </w:p>
    <w:p w14:paraId="61036F14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  <w:bookmarkStart w:id="7" w:name="_Toc994329697"/>
      <w:r>
        <w:t>Architecture Diagram</w:t>
      </w:r>
      <w:r>
        <w:rPr>
          <w:rFonts w:hint="default"/>
          <w:lang w:val="en-US"/>
        </w:rPr>
        <w:t>.</w:t>
      </w:r>
      <w:bookmarkEnd w:id="7"/>
    </w:p>
    <w:p w14:paraId="1BFC2564">
      <w:pPr>
        <w:rPr>
          <w:rFonts w:hint="default"/>
          <w:lang w:val="en-US"/>
        </w:rPr>
      </w:pPr>
    </w:p>
    <w:p w14:paraId="543BCE84"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336800" cy="2336800"/>
            <wp:effectExtent l="0" t="0" r="0" b="0"/>
            <wp:docPr id="14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2336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8" w:name="_Toc2128960172"/>
    </w:p>
    <w:p w14:paraId="311713E2">
      <w:pPr>
        <w:pStyle w:val="3"/>
        <w:keepNext w:val="0"/>
        <w:keepLines w:val="0"/>
        <w:widowControl/>
        <w:suppressLineNumbers w:val="0"/>
        <w:outlineLvl w:val="0"/>
      </w:pPr>
      <w:r>
        <w:t>Architectural Components</w:t>
      </w:r>
      <w:bookmarkEnd w:id="8"/>
    </w:p>
    <w:p w14:paraId="4DA4E73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Front-end (Presentation Layer):</w:t>
      </w:r>
    </w:p>
    <w:p w14:paraId="5211B743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Function:</w:t>
      </w:r>
      <w:r>
        <w:t xml:space="preserve"> Web or mobile interface for user interaction (registration, browsing, reading, managing owned books).</w:t>
      </w:r>
    </w:p>
    <w:p w14:paraId="5D70B8F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Interaction:</w:t>
      </w:r>
      <w:r>
        <w:t xml:space="preserve"> Communicates with the Smart Contract layer via a Web3 provider (like MetaMask) to initiate transactions (purchase, transfer, lend) and queries (checking ownership).</w:t>
      </w:r>
    </w:p>
    <w:p w14:paraId="54004C0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Back-end / Logic Layer (Smart Contracts):</w:t>
      </w:r>
    </w:p>
    <w:p w14:paraId="6633F5A5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center"/>
      </w:pPr>
      <w:r>
        <w:rPr>
          <w:rStyle w:val="9"/>
        </w:rPr>
        <w:t>Book Registry Contract:</w:t>
      </w:r>
      <w:r>
        <w:t xml:space="preserve"> Manages the creation of</w:t>
      </w:r>
      <w:r>
        <w:rPr>
          <w:rFonts w:hint="default"/>
          <w:lang w:val="en-US"/>
        </w:rPr>
        <w:t xml:space="preserve"> </w:t>
      </w:r>
      <w:r>
        <w:rPr>
          <w:rStyle w:val="7"/>
        </w:rPr>
        <w:t>BookID</w:t>
      </w:r>
      <w:r>
        <w:t>s and stores the essential immutable data</w:t>
      </w:r>
      <w:r>
        <w:rPr>
          <w:rFonts w:hint="default"/>
          <w:lang w:val="en-US"/>
        </w:rPr>
        <w:t xml:space="preserve"> </w:t>
      </w:r>
      <w:r>
        <w:t>(AuthorID, initial HashPointer).</w:t>
      </w:r>
    </w:p>
    <w:p w14:paraId="7B78B021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center"/>
      </w:pPr>
      <w:r>
        <w:rPr>
          <w:rStyle w:val="9"/>
        </w:rPr>
        <w:t>Ownership Contract (Token):</w:t>
      </w:r>
      <w:r>
        <w:t xml:space="preserve"> The core contract that implements the ownership standard (e.g., NFT). It handles the </w:t>
      </w:r>
      <w:r>
        <w:rPr>
          <w:rStyle w:val="7"/>
        </w:rPr>
        <w:t>OwnerID</w:t>
      </w:r>
      <w:r>
        <w:t xml:space="preserve"> and enforces transfer rules.</w:t>
      </w:r>
    </w:p>
    <w:p w14:paraId="44E670B3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/>
          <w:lang w:val="en-US"/>
        </w:rPr>
      </w:pPr>
      <w:r>
        <w:rPr>
          <w:rStyle w:val="9"/>
        </w:rPr>
        <w:t>Access/Lending Contract:</w:t>
      </w:r>
      <w:r>
        <w:t xml:space="preserve"> Contains the logic for conditional access. When a book is lent, this contract temporarily grants the borrower a time-bound decryption key or access permission, revoking it automatically upon expiry</w:t>
      </w:r>
      <w:r>
        <w:rPr>
          <w:rFonts w:hint="default"/>
          <w:lang w:val="en-US"/>
        </w:rPr>
        <w:t>.</w:t>
      </w:r>
    </w:p>
    <w:p w14:paraId="0B3919B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6ED925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Off-chain Storage (IPFS/Distributed Storage):</w:t>
      </w:r>
    </w:p>
    <w:p w14:paraId="1C495D57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rPr>
          <w:rStyle w:val="9"/>
        </w:rPr>
        <w:t>Function:</w:t>
      </w:r>
      <w:r>
        <w:t xml:space="preserve"> Stores the actual, large book files. </w:t>
      </w:r>
      <w:r>
        <w:rPr>
          <w:rStyle w:val="9"/>
        </w:rPr>
        <w:t>The content is stored encrypted.</w:t>
      </w:r>
    </w:p>
    <w:p w14:paraId="4AEA65D6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rPr>
          <w:rStyle w:val="9"/>
        </w:rPr>
        <w:t>Interaction:</w:t>
      </w:r>
      <w:r>
        <w:t xml:space="preserve"> The Smart Contract holds the </w:t>
      </w:r>
      <w:r>
        <w:rPr>
          <w:rStyle w:val="7"/>
        </w:rPr>
        <w:t>HashPointer</w:t>
      </w:r>
      <w:r>
        <w:t xml:space="preserve"> (the unique IPFS content address) and manages the distribution of the decryption key to the legitimate owner/borrower.</w:t>
      </w:r>
    </w:p>
    <w:p w14:paraId="70EC20D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Blockchain Network (Immutable Ledger):</w:t>
      </w:r>
    </w:p>
    <w:p w14:paraId="3ED3274E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Function:</w:t>
      </w:r>
      <w:r>
        <w:t xml:space="preserve"> Provides the immutable, decentralized, and globally synchronized ledger for all transaction and ownership proofs.</w:t>
      </w:r>
    </w:p>
    <w:p w14:paraId="221BB3B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0C96183">
      <w:pPr>
        <w:pStyle w:val="2"/>
        <w:keepNext w:val="0"/>
        <w:keepLines w:val="0"/>
        <w:widowControl/>
        <w:suppressLineNumbers w:val="0"/>
      </w:pPr>
      <w:bookmarkStart w:id="9" w:name="_Toc61084490"/>
      <w:r>
        <w:t>IV. Data Model and Process Flow</w:t>
      </w:r>
      <w:bookmarkEnd w:id="9"/>
    </w:p>
    <w:p w14:paraId="42537924">
      <w:pPr>
        <w:pStyle w:val="3"/>
        <w:keepNext w:val="0"/>
        <w:keepLines w:val="0"/>
        <w:widowControl/>
        <w:suppressLineNumbers w:val="0"/>
      </w:pPr>
      <w:bookmarkStart w:id="10" w:name="_Toc149840164"/>
      <w:r>
        <w:t>On-chain Data Model</w:t>
      </w:r>
      <w:bookmarkEnd w:id="10"/>
    </w:p>
    <w:p w14:paraId="73581B4D">
      <w:pPr>
        <w:pStyle w:val="8"/>
        <w:keepNext w:val="0"/>
        <w:keepLines w:val="0"/>
        <w:widowControl/>
        <w:suppressLineNumbers w:val="0"/>
      </w:pPr>
      <w:r>
        <w:t>The system uses minimal data on-chain to maximize efficiency and minimize gas fees, relying on the hash pointer for content verification.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9"/>
        <w:gridCol w:w="1687"/>
        <w:gridCol w:w="4890"/>
      </w:tblGrid>
      <w:tr w14:paraId="6D78600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BEEE39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02207EDB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5E6D1D40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14:paraId="06D839F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E49B66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BookID</w:t>
            </w:r>
          </w:p>
        </w:tc>
        <w:tc>
          <w:tcPr>
            <w:tcW w:w="0" w:type="auto"/>
            <w:shd w:val="clear"/>
            <w:vAlign w:val="center"/>
          </w:tcPr>
          <w:p w14:paraId="1A915B08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uint256</w:t>
            </w:r>
          </w:p>
        </w:tc>
        <w:tc>
          <w:tcPr>
            <w:tcW w:w="0" w:type="auto"/>
            <w:shd w:val="clear"/>
            <w:vAlign w:val="center"/>
          </w:tcPr>
          <w:p w14:paraId="7407F315">
            <w:pPr>
              <w:pStyle w:val="8"/>
              <w:keepNext w:val="0"/>
              <w:keepLines w:val="0"/>
              <w:widowControl/>
              <w:suppressLineNumbers w:val="0"/>
            </w:pPr>
            <w:r>
              <w:t>Unique identifier for the book/token.</w:t>
            </w:r>
          </w:p>
        </w:tc>
      </w:tr>
      <w:tr w14:paraId="1CABEA5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2579FA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AuthorID</w:t>
            </w:r>
          </w:p>
        </w:tc>
        <w:tc>
          <w:tcPr>
            <w:tcW w:w="0" w:type="auto"/>
            <w:shd w:val="clear"/>
            <w:vAlign w:val="center"/>
          </w:tcPr>
          <w:p w14:paraId="54641E7B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address</w:t>
            </w:r>
          </w:p>
        </w:tc>
        <w:tc>
          <w:tcPr>
            <w:tcW w:w="0" w:type="auto"/>
            <w:shd w:val="clear"/>
            <w:vAlign w:val="center"/>
          </w:tcPr>
          <w:p w14:paraId="5D4E2773">
            <w:pPr>
              <w:pStyle w:val="8"/>
              <w:keepNext w:val="0"/>
              <w:keepLines w:val="0"/>
              <w:widowControl/>
              <w:suppressLineNumbers w:val="0"/>
            </w:pPr>
            <w:r>
              <w:t>Wallet address of the original author/publisher for royalty tracking.</w:t>
            </w:r>
          </w:p>
        </w:tc>
      </w:tr>
      <w:tr w14:paraId="264BCD4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62A8FB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OwnerID</w:t>
            </w:r>
          </w:p>
        </w:tc>
        <w:tc>
          <w:tcPr>
            <w:tcW w:w="0" w:type="auto"/>
            <w:shd w:val="clear"/>
            <w:vAlign w:val="center"/>
          </w:tcPr>
          <w:p w14:paraId="577EDB3D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address</w:t>
            </w:r>
          </w:p>
        </w:tc>
        <w:tc>
          <w:tcPr>
            <w:tcW w:w="0" w:type="auto"/>
            <w:shd w:val="clear"/>
            <w:vAlign w:val="center"/>
          </w:tcPr>
          <w:p w14:paraId="0D1934FE">
            <w:pPr>
              <w:pStyle w:val="8"/>
              <w:keepNext w:val="0"/>
              <w:keepLines w:val="0"/>
              <w:widowControl/>
              <w:suppressLineNumbers w:val="0"/>
            </w:pPr>
            <w:r>
              <w:t>Wallet address of the current holder of the book token.</w:t>
            </w:r>
          </w:p>
        </w:tc>
      </w:tr>
      <w:tr w14:paraId="5740947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DD4B3F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HashPointer (IPFS CID)</w:t>
            </w:r>
          </w:p>
        </w:tc>
        <w:tc>
          <w:tcPr>
            <w:tcW w:w="0" w:type="auto"/>
            <w:shd w:val="clear"/>
            <w:vAlign w:val="center"/>
          </w:tcPr>
          <w:p w14:paraId="4758BA52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string</w:t>
            </w:r>
            <w:r>
              <w:t>/</w:t>
            </w:r>
            <w:r>
              <w:rPr>
                <w:rStyle w:val="7"/>
              </w:rPr>
              <w:t>bytes32</w:t>
            </w:r>
          </w:p>
        </w:tc>
        <w:tc>
          <w:tcPr>
            <w:tcW w:w="0" w:type="auto"/>
            <w:shd w:val="clear"/>
            <w:vAlign w:val="center"/>
          </w:tcPr>
          <w:p w14:paraId="077A3393">
            <w:pPr>
              <w:pStyle w:val="8"/>
              <w:keepNext w:val="0"/>
              <w:keepLines w:val="0"/>
              <w:widowControl/>
              <w:suppressLineNumbers w:val="0"/>
            </w:pPr>
            <w:r>
              <w:t>Cryptographic content identifier (CID) linking to the encrypted book file on IPFS. This is the integrity check.</w:t>
            </w:r>
          </w:p>
        </w:tc>
      </w:tr>
      <w:tr w14:paraId="5025965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E783C8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Permissions List</w:t>
            </w:r>
          </w:p>
        </w:tc>
        <w:tc>
          <w:tcPr>
            <w:tcW w:w="0" w:type="auto"/>
            <w:shd w:val="clear"/>
            <w:vAlign w:val="center"/>
          </w:tcPr>
          <w:p w14:paraId="3483497E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mapping</w:t>
            </w:r>
          </w:p>
        </w:tc>
        <w:tc>
          <w:tcPr>
            <w:tcW w:w="0" w:type="auto"/>
            <w:shd w:val="clear"/>
            <w:vAlign w:val="center"/>
          </w:tcPr>
          <w:p w14:paraId="43B22696">
            <w:pPr>
              <w:pStyle w:val="8"/>
              <w:keepNext w:val="0"/>
              <w:keepLines w:val="0"/>
              <w:widowControl/>
              <w:suppressLineNumbers w:val="0"/>
            </w:pPr>
            <w:r>
              <w:t>Defines current access rights (e.g., can_read: true, can_lend: false).</w:t>
            </w:r>
          </w:p>
        </w:tc>
      </w:tr>
      <w:tr w14:paraId="3DEC64E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10E849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History Log</w:t>
            </w:r>
          </w:p>
        </w:tc>
        <w:tc>
          <w:tcPr>
            <w:tcW w:w="0" w:type="auto"/>
            <w:shd w:val="clear"/>
            <w:vAlign w:val="center"/>
          </w:tcPr>
          <w:p w14:paraId="7D0D5BD9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7"/>
              </w:rPr>
              <w:t>event</w:t>
            </w:r>
            <w:r>
              <w:t xml:space="preserve"> / </w:t>
            </w:r>
            <w:r>
              <w:rPr>
                <w:rStyle w:val="7"/>
              </w:rPr>
              <w:t>array</w:t>
            </w:r>
          </w:p>
        </w:tc>
        <w:tc>
          <w:tcPr>
            <w:tcW w:w="0" w:type="auto"/>
            <w:shd w:val="clear"/>
            <w:vAlign w:val="center"/>
          </w:tcPr>
          <w:p w14:paraId="60046045">
            <w:pPr>
              <w:pStyle w:val="8"/>
              <w:keepNext w:val="0"/>
              <w:keepLines w:val="0"/>
              <w:widowControl/>
              <w:suppressLineNumbers w:val="0"/>
            </w:pPr>
            <w:r>
              <w:t>Timestamped record of ownership transfers.</w:t>
            </w:r>
          </w:p>
        </w:tc>
      </w:tr>
    </w:tbl>
    <w:p w14:paraId="0E613050">
      <w:pPr>
        <w:pStyle w:val="3"/>
        <w:keepNext w:val="0"/>
        <w:keepLines w:val="0"/>
        <w:widowControl/>
        <w:suppressLineNumbers w:val="0"/>
        <w:outlineLvl w:val="0"/>
      </w:pPr>
      <w:bookmarkStart w:id="11" w:name="_Toc1512802064"/>
      <w:r>
        <w:t>Core Workflow: Book Registration</w:t>
      </w:r>
      <w:bookmarkEnd w:id="11"/>
    </w:p>
    <w:p w14:paraId="06731687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rPr>
          <w:rStyle w:val="9"/>
        </w:rPr>
        <w:t>Author Action:</w:t>
      </w:r>
      <w:r>
        <w:t xml:space="preserve"> Author encrypts the book file, uploads the encrypted file to IPFS, and obtains the unique </w:t>
      </w:r>
      <w:r>
        <w:rPr>
          <w:rStyle w:val="7"/>
        </w:rPr>
        <w:t>HashPointer</w:t>
      </w:r>
      <w:r>
        <w:t xml:space="preserve"> (CID).</w:t>
      </w:r>
    </w:p>
    <w:p w14:paraId="3BA33A6B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rPr>
          <w:rStyle w:val="9"/>
        </w:rPr>
        <w:t>Transaction:</w:t>
      </w:r>
      <w:r>
        <w:t xml:space="preserve"> Author calls the </w:t>
      </w:r>
      <w:r>
        <w:rPr>
          <w:rStyle w:val="7"/>
        </w:rPr>
        <w:t>registerBook</w:t>
      </w:r>
      <w:r>
        <w:t xml:space="preserve"> function on the Smart Contract, passing metadata and the </w:t>
      </w:r>
      <w:r>
        <w:rPr>
          <w:rStyle w:val="7"/>
        </w:rPr>
        <w:t>HashPointer</w:t>
      </w:r>
      <w:r>
        <w:t>.</w:t>
      </w:r>
    </w:p>
    <w:p w14:paraId="58E4EED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11F27B7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On-Chain Result:</w:t>
      </w:r>
      <w:r>
        <w:t xml:space="preserve"> The contract creates a new </w:t>
      </w:r>
      <w:r>
        <w:rPr>
          <w:rStyle w:val="7"/>
        </w:rPr>
        <w:t>BookID</w:t>
      </w:r>
      <w:r>
        <w:t xml:space="preserve">, links it to the </w:t>
      </w:r>
      <w:r>
        <w:rPr>
          <w:rStyle w:val="7"/>
        </w:rPr>
        <w:t>AuthorID</w:t>
      </w:r>
      <w:r>
        <w:t xml:space="preserve"> and </w:t>
      </w:r>
      <w:r>
        <w:rPr>
          <w:rStyle w:val="7"/>
        </w:rPr>
        <w:t>HashPointer</w:t>
      </w:r>
      <w:r>
        <w:t>, and issues the first token (ownership) to the Author. This event is immutable.</w:t>
      </w:r>
    </w:p>
    <w:p w14:paraId="1E63503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69F0CD7">
      <w:pPr>
        <w:pStyle w:val="2"/>
        <w:keepNext w:val="0"/>
        <w:keepLines w:val="0"/>
        <w:widowControl/>
        <w:suppressLineNumbers w:val="0"/>
        <w:outlineLvl w:val="0"/>
      </w:pPr>
      <w:bookmarkStart w:id="12" w:name="_Toc1605392815"/>
      <w:r>
        <w:t>V. Testing, Risks, and Future Work</w:t>
      </w:r>
      <w:bookmarkEnd w:id="12"/>
    </w:p>
    <w:p w14:paraId="1F089CA4">
      <w:pPr>
        <w:pStyle w:val="3"/>
        <w:keepNext w:val="0"/>
        <w:keepLines w:val="0"/>
        <w:widowControl/>
        <w:suppressLineNumbers w:val="0"/>
        <w:outlineLvl w:val="0"/>
      </w:pPr>
      <w:bookmarkStart w:id="13" w:name="_Toc852500797"/>
      <w:r>
        <w:t>Test Summary</w:t>
      </w:r>
      <w:bookmarkEnd w:id="13"/>
    </w:p>
    <w:p w14:paraId="6FDABFAD">
      <w:pPr>
        <w:pStyle w:val="8"/>
        <w:keepNext w:val="0"/>
        <w:keepLines w:val="0"/>
        <w:widowControl/>
        <w:suppressLineNumbers w:val="0"/>
      </w:pPr>
      <w:r>
        <w:t>Testing focuses on verifying the integrity and execution of the core contracts.</w:t>
      </w:r>
    </w:p>
    <w:p w14:paraId="4C80931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Deployment Tests:</w:t>
      </w:r>
      <w:r>
        <w:t xml:space="preserve"> Verify successful deployment of all smart contracts (</w:t>
      </w:r>
      <w:r>
        <w:rPr>
          <w:rStyle w:val="7"/>
        </w:rPr>
        <w:t>Book Registry</w:t>
      </w:r>
      <w:r>
        <w:t xml:space="preserve">, </w:t>
      </w:r>
      <w:r>
        <w:rPr>
          <w:rStyle w:val="7"/>
        </w:rPr>
        <w:t>Ownership</w:t>
      </w:r>
      <w:r>
        <w:t xml:space="preserve">, </w:t>
      </w:r>
      <w:r>
        <w:rPr>
          <w:rStyle w:val="7"/>
        </w:rPr>
        <w:t>Access</w:t>
      </w:r>
      <w:r>
        <w:t>) onto the target blockchain (e.g., using Ganache/Truffle for local testing).</w:t>
      </w:r>
    </w:p>
    <w:p w14:paraId="4B639B6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5BB5736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Functional Tests:</w:t>
      </w:r>
    </w:p>
    <w:p w14:paraId="36D3E030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Book Lifecycle: Upload, ownership transfer (sale), and lending/return cycles.</w:t>
      </w:r>
    </w:p>
    <w:p w14:paraId="0E879A65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 xml:space="preserve">Access Control: Verification that only the wallet listed as the </w:t>
      </w:r>
      <w:r>
        <w:rPr>
          <w:rStyle w:val="7"/>
        </w:rPr>
        <w:t>OwnerID</w:t>
      </w:r>
      <w:r>
        <w:t xml:space="preserve"> can retrieve the decryption key from the Access contract.</w:t>
      </w:r>
    </w:p>
    <w:p w14:paraId="3CF6647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4BE2A23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t>Integrity Check: Attempting to register a book with a modified hash fails.</w:t>
      </w:r>
    </w:p>
    <w:p w14:paraId="353348C5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</w:pPr>
      <w:r>
        <w:rPr>
          <w:rStyle w:val="9"/>
        </w:rPr>
        <w:t>Security Tests:</w:t>
      </w:r>
      <w:r>
        <w:t xml:space="preserve"> Stress testing denial-of-service attack vectors and attempting unauthorized calls to restricted functions (e.g., minting new tokens without authorization).</w:t>
      </w:r>
    </w:p>
    <w:p w14:paraId="77E51B03">
      <w:pPr>
        <w:pStyle w:val="3"/>
        <w:keepNext w:val="0"/>
        <w:keepLines w:val="0"/>
        <w:widowControl/>
        <w:suppressLineNumbers w:val="0"/>
        <w:outlineLvl w:val="0"/>
      </w:pPr>
      <w:bookmarkStart w:id="14" w:name="_Toc2117486042"/>
      <w:r>
        <w:t>Risks &amp; Mitigations</w:t>
      </w:r>
      <w:bookmarkEnd w:id="14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7"/>
        <w:gridCol w:w="3092"/>
        <w:gridCol w:w="4197"/>
      </w:tblGrid>
      <w:tr w14:paraId="47C1243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E00781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shd w:val="clear"/>
            <w:vAlign w:val="center"/>
          </w:tcPr>
          <w:p w14:paraId="0303F361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73BCE52B">
            <w:pPr>
              <w:pStyle w:val="8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Mitigation Strategy</w:t>
            </w:r>
          </w:p>
        </w:tc>
      </w:tr>
      <w:tr w14:paraId="5164F74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7F5BA2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High Gas Fees</w:t>
            </w:r>
          </w:p>
        </w:tc>
        <w:tc>
          <w:tcPr>
            <w:tcW w:w="0" w:type="auto"/>
            <w:shd w:val="clear"/>
            <w:vAlign w:val="center"/>
          </w:tcPr>
          <w:p w14:paraId="613666EA">
            <w:pPr>
              <w:pStyle w:val="8"/>
              <w:keepNext w:val="0"/>
              <w:keepLines w:val="0"/>
              <w:widowControl/>
              <w:suppressLineNumbers w:val="0"/>
            </w:pPr>
            <w:r>
              <w:t>Transaction costs on the mainnet could discourage frequent lending/transferring.</w:t>
            </w:r>
          </w:p>
        </w:tc>
        <w:tc>
          <w:tcPr>
            <w:tcW w:w="0" w:type="auto"/>
            <w:shd w:val="clear"/>
            <w:vAlign w:val="center"/>
          </w:tcPr>
          <w:p w14:paraId="0B2912D1">
            <w:pPr>
              <w:pStyle w:val="8"/>
              <w:keepNext w:val="0"/>
              <w:keepLines w:val="0"/>
              <w:widowControl/>
              <w:suppressLineNumbers w:val="0"/>
            </w:pPr>
            <w:r>
              <w:t>Utilize Layer-2 scaling solutions (e.g., Optimism, Arbitrum) or a delegated Proof-of-Stake chain with low transaction costs.</w:t>
            </w:r>
          </w:p>
        </w:tc>
      </w:tr>
      <w:tr w14:paraId="612EFF6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B1984C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Privacy Leakage</w:t>
            </w:r>
          </w:p>
        </w:tc>
        <w:tc>
          <w:tcPr>
            <w:tcW w:w="0" w:type="auto"/>
            <w:shd w:val="clear"/>
            <w:vAlign w:val="center"/>
          </w:tcPr>
          <w:p w14:paraId="0063AAC6">
            <w:pPr>
              <w:pStyle w:val="8"/>
              <w:keepNext w:val="0"/>
              <w:keepLines w:val="0"/>
              <w:widowControl/>
              <w:suppressLineNumbers w:val="0"/>
            </w:pPr>
            <w:r>
              <w:t>Book metadata (titles, authors) stored on-chain is public.</w:t>
            </w:r>
          </w:p>
        </w:tc>
        <w:tc>
          <w:tcPr>
            <w:tcW w:w="0" w:type="auto"/>
            <w:shd w:val="clear"/>
            <w:vAlign w:val="center"/>
          </w:tcPr>
          <w:p w14:paraId="70D71A56">
            <w:pPr>
              <w:pStyle w:val="8"/>
              <w:keepNext w:val="0"/>
              <w:keepLines w:val="0"/>
              <w:widowControl/>
              <w:suppressLineNumbers w:val="0"/>
            </w:pPr>
            <w:r>
              <w:t>Implement zero-knowledge proofs (ZKPs) for proving ownership or access rights without revealing all metadata, or encrypt sensitive metadata fields.</w:t>
            </w:r>
          </w:p>
        </w:tc>
      </w:tr>
      <w:tr w14:paraId="55B473C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F4DF95">
            <w:pPr>
              <w:pStyle w:val="8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Lost Wallet Keys</w:t>
            </w:r>
          </w:p>
        </w:tc>
        <w:tc>
          <w:tcPr>
            <w:tcW w:w="0" w:type="auto"/>
            <w:shd w:val="clear"/>
            <w:vAlign w:val="center"/>
          </w:tcPr>
          <w:p w14:paraId="2D383764">
            <w:pPr>
              <w:pStyle w:val="8"/>
              <w:keepNext w:val="0"/>
              <w:keepLines w:val="0"/>
              <w:widowControl/>
              <w:suppressLineNumbers w:val="0"/>
            </w:pPr>
            <w:r>
              <w:t>Loss of private keys leads to permanent loss of book access.</w:t>
            </w:r>
          </w:p>
        </w:tc>
        <w:tc>
          <w:tcPr>
            <w:tcW w:w="0" w:type="auto"/>
            <w:shd w:val="clear"/>
            <w:vAlign w:val="center"/>
          </w:tcPr>
          <w:p w14:paraId="0FDD884A">
            <w:pPr>
              <w:pStyle w:val="8"/>
              <w:keepNext w:val="0"/>
              <w:keepLines w:val="0"/>
              <w:widowControl/>
              <w:suppressLineNumbers w:val="0"/>
            </w:pPr>
            <w:r>
              <w:t xml:space="preserve">Integrate a </w:t>
            </w:r>
            <w:r>
              <w:rPr>
                <w:rStyle w:val="9"/>
              </w:rPr>
              <w:t>Social Recovery</w:t>
            </w:r>
            <w:r>
              <w:t xml:space="preserve"> mechanism where trusted friends/institutions can help recover the account, or use a multi-signature contract.</w:t>
            </w:r>
          </w:p>
        </w:tc>
      </w:tr>
    </w:tbl>
    <w:p w14:paraId="21906C6C">
      <w:pPr>
        <w:pStyle w:val="3"/>
        <w:keepNext w:val="0"/>
        <w:keepLines w:val="0"/>
        <w:widowControl/>
        <w:suppressLineNumbers w:val="0"/>
        <w:outlineLvl w:val="0"/>
      </w:pPr>
      <w:bookmarkStart w:id="15" w:name="_Toc488909810"/>
      <w:r>
        <w:t>Limitations</w:t>
      </w:r>
      <w:bookmarkEnd w:id="15"/>
    </w:p>
    <w:p w14:paraId="5C0A1384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</w:pPr>
      <w:r>
        <w:rPr>
          <w:rStyle w:val="9"/>
        </w:rPr>
        <w:t>User Blockchain Literacy:</w:t>
      </w:r>
      <w:r>
        <w:t xml:space="preserve"> Requires a learning curve for users unfamiliar with wallets, gas fees, and key management.</w:t>
      </w:r>
    </w:p>
    <w:p w14:paraId="69890AF2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</w:pPr>
      <w:r>
        <w:rPr>
          <w:rStyle w:val="9"/>
        </w:rPr>
        <w:t>Off-chain Redundancy:</w:t>
      </w:r>
      <w:r>
        <w:t xml:space="preserve"> While IPFS is decentralized, ensuring long-term pinning (availability) of the book file requires reliable services (e.g., Filecoin, Pinata).</w:t>
      </w:r>
    </w:p>
    <w:p w14:paraId="148567E2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</w:pPr>
      <w:r>
        <w:rPr>
          <w:rStyle w:val="9"/>
        </w:rPr>
        <w:t>High Upfront Costs:</w:t>
      </w:r>
      <w:r>
        <w:t xml:space="preserve"> Initial contract deployment and book registration costs (gas fees) can be substantial.</w:t>
      </w:r>
    </w:p>
    <w:p w14:paraId="1F65B5A6">
      <w:pPr>
        <w:pStyle w:val="3"/>
        <w:keepNext w:val="0"/>
        <w:keepLines w:val="0"/>
        <w:widowControl/>
        <w:suppressLineNumbers w:val="0"/>
        <w:outlineLvl w:val="0"/>
      </w:pPr>
      <w:bookmarkStart w:id="16" w:name="_Toc834743248"/>
      <w:r>
        <w:t>Future Work and Expansion</w:t>
      </w:r>
      <w:bookmarkEnd w:id="16"/>
    </w:p>
    <w:p w14:paraId="100AA622">
      <w:pPr>
        <w:pStyle w:val="8"/>
        <w:keepNext w:val="0"/>
        <w:keepLines w:val="0"/>
        <w:widowControl/>
        <w:suppressLineNumbers w:val="0"/>
      </w:pPr>
      <w:r>
        <w:t>The proposed system is a foundation for a fully decentralized marketplace and ecosystem.</w:t>
      </w:r>
    </w:p>
    <w:p w14:paraId="1BC910B0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rPr>
          <w:rStyle w:val="9"/>
        </w:rPr>
        <w:t>Decentralized Identity (DID) Integration:</w:t>
      </w:r>
      <w:r>
        <w:t xml:space="preserve"> Use standards like W3C DIDs to allow authors to verify their identity without relying on a central authority, enhancing trust.</w:t>
      </w:r>
    </w:p>
    <w:p w14:paraId="739955D2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rPr>
          <w:rStyle w:val="9"/>
        </w:rPr>
        <w:t>Recommendation Engine:</w:t>
      </w:r>
      <w:r>
        <w:t xml:space="preserve"> Develop a decentralized, privacy-preserving recommendation engine based on encrypted reading history, rewarding users with tokens for sharing anonymized data.</w:t>
      </w:r>
    </w:p>
    <w:p w14:paraId="2C99B29A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rPr>
          <w:rStyle w:val="9"/>
        </w:rPr>
        <w:t>Automated Royalty Distribution:</w:t>
      </w:r>
      <w:r>
        <w:t xml:space="preserve"> Program the smart contract to automatically split payment upon purchase or resale, instantly transferring pre-defined percentages to the AuthorID, PublisherID, and previous OwnerID (for royalties on secondary sales).</w:t>
      </w:r>
    </w:p>
    <w:p w14:paraId="08020E14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rPr>
          <w:rStyle w:val="9"/>
        </w:rPr>
        <w:t>Analytics Dashboards:</w:t>
      </w:r>
      <w:r>
        <w:t xml:space="preserve"> Build a front-end interface for authors to easily view on-chain metrics such as sales volume, transfer history, and active lending contracts.</w:t>
      </w:r>
    </w:p>
    <w:p w14:paraId="28738510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bookmarkStart w:id="22" w:name="_GoBack"/>
      <w:bookmarkEnd w:id="22"/>
    </w:p>
    <w:p w14:paraId="4FE82D0F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bookmarkStart w:id="17" w:name="_Toc19103285"/>
      <w:r>
        <w:rPr>
          <w:rFonts w:hint="default"/>
          <w:lang w:val="en-US"/>
        </w:rPr>
        <w:t>SYSTEM  MANUAL.</w:t>
      </w:r>
      <w:bookmarkEnd w:id="17"/>
    </w:p>
    <w:p w14:paraId="511DF4A9">
      <w:pPr>
        <w:pStyle w:val="2"/>
        <w:keepNext w:val="0"/>
        <w:keepLines w:val="0"/>
        <w:widowControl/>
        <w:suppressLineNumbers w:val="0"/>
      </w:pPr>
      <w:bookmarkStart w:id="18" w:name="_Toc1093847592"/>
      <w:r>
        <w:t>1. Access and Control (Login &amp; Dashboard)</w:t>
      </w:r>
      <w:bookmarkEnd w:id="18"/>
    </w:p>
    <w:p w14:paraId="68B34C1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Login Screen:</w:t>
      </w:r>
      <w:r>
        <w:t xml:space="preserve"> This shows the entry point of the application, titled "Digital Occurrence Book." It clearly outlines the security requirement for users to sign in with a Username/Email and Password, confirming the system uses access control.</w:t>
      </w:r>
    </w:p>
    <w:p w14:paraId="7C01979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0975" cy="3642995"/>
            <wp:effectExtent l="0" t="0" r="22225" b="14605"/>
            <wp:docPr id="1" name="Picture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0168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Admin Dashboard:</w:t>
      </w:r>
      <w:r>
        <w:t xml:space="preserve"> This is the high-level control panel. It aggregates key metrics (4 Total Reports, 3 Resolved, 4 Reporters), providing administrators with an immediate, statistical overview of the system's health and operational throughput</w:t>
      </w:r>
    </w:p>
    <w:p w14:paraId="30C2654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2880" cy="2673985"/>
            <wp:effectExtent l="0" t="0" r="20320" b="18415"/>
            <wp:docPr id="2" name="Picture 2" descr="2(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(i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E6F6">
      <w:pPr>
        <w:rPr>
          <w:rFonts w:hint="default"/>
          <w:lang w:val="en-US"/>
        </w:rPr>
      </w:pPr>
    </w:p>
    <w:p w14:paraId="126A1DEB">
      <w:pPr>
        <w:rPr>
          <w:rFonts w:hint="default"/>
          <w:lang w:val="en-US"/>
        </w:rPr>
      </w:pPr>
    </w:p>
    <w:p w14:paraId="121CEA51">
      <w:pPr>
        <w:rPr>
          <w:rFonts w:hint="default"/>
          <w:lang w:val="en-US"/>
        </w:rPr>
      </w:pPr>
    </w:p>
    <w:p w14:paraId="2C09FC95">
      <w:pPr>
        <w:pStyle w:val="2"/>
        <w:keepNext w:val="0"/>
        <w:keepLines w:val="0"/>
        <w:widowControl/>
        <w:suppressLineNumbers w:val="0"/>
      </w:pPr>
      <w:bookmarkStart w:id="19" w:name="_Toc1836460424"/>
      <w:r>
        <w:rPr>
          <w:rFonts w:hint="default"/>
          <w:lang w:val="en-US"/>
        </w:rPr>
        <w:t>2.</w:t>
      </w:r>
      <w:r>
        <w:t>Incident Tracking and Reporting</w:t>
      </w:r>
      <w:bookmarkEnd w:id="19"/>
    </w:p>
    <w:p w14:paraId="49CD8A8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All Reports List:</w:t>
      </w:r>
      <w:r>
        <w:t xml:space="preserve"> This is the core table where all incidents are logged. It demonstrates the ability to track essential data points for each incident: a unique </w:t>
      </w:r>
      <w:r>
        <w:rPr>
          <w:rStyle w:val="9"/>
        </w:rPr>
        <w:t>ID</w:t>
      </w:r>
      <w:r>
        <w:t xml:space="preserve">, </w:t>
      </w:r>
      <w:r>
        <w:rPr>
          <w:rStyle w:val="9"/>
        </w:rPr>
        <w:t>Type</w:t>
      </w:r>
      <w:r>
        <w:t xml:space="preserve"> (e.g., Assault, Theft), </w:t>
      </w:r>
      <w:r>
        <w:rPr>
          <w:rStyle w:val="9"/>
        </w:rPr>
        <w:t>Description</w:t>
      </w:r>
      <w:r>
        <w:t xml:space="preserve">, </w:t>
      </w:r>
      <w:r>
        <w:rPr>
          <w:rStyle w:val="9"/>
        </w:rPr>
        <w:t>Location</w:t>
      </w:r>
      <w:r>
        <w:t xml:space="preserve">, the </w:t>
      </w:r>
      <w:r>
        <w:rPr>
          <w:rStyle w:val="9"/>
        </w:rPr>
        <w:t>Reporter</w:t>
      </w:r>
      <w:r>
        <w:t xml:space="preserve">, </w:t>
      </w:r>
      <w:r>
        <w:rPr>
          <w:rStyle w:val="9"/>
        </w:rPr>
        <w:t>Incident Date</w:t>
      </w:r>
      <w:r>
        <w:t xml:space="preserve">, and a color-coded </w:t>
      </w:r>
      <w:r>
        <w:rPr>
          <w:rStyle w:val="9"/>
        </w:rPr>
        <w:t>Status</w:t>
      </w:r>
      <w:r>
        <w:t xml:space="preserve"> (In Progress, Resolved). The inclusion of </w:t>
      </w:r>
      <w:r>
        <w:rPr>
          <w:rStyle w:val="9"/>
        </w:rPr>
        <w:t>Actions</w:t>
      </w:r>
      <w:r>
        <w:t xml:space="preserve"> (View, Edit, Delete) confirms management capabilities.</w:t>
      </w:r>
    </w:p>
    <w:p w14:paraId="16FD684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3303905"/>
            <wp:effectExtent l="0" t="0" r="13335" b="23495"/>
            <wp:docPr id="4" name="Picture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111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Report Filtering:</w:t>
      </w:r>
      <w:r>
        <w:t xml:space="preserve"> This image highlights the crucial search and filter functionality. It shows users can query the reports based on </w:t>
      </w:r>
      <w:r>
        <w:rPr>
          <w:rStyle w:val="9"/>
        </w:rPr>
        <w:t>Status</w:t>
      </w:r>
      <w:r>
        <w:t xml:space="preserve">, </w:t>
      </w:r>
      <w:r>
        <w:rPr>
          <w:rStyle w:val="9"/>
        </w:rPr>
        <w:t>Incident Type</w:t>
      </w:r>
      <w:r>
        <w:t xml:space="preserve">, </w:t>
      </w:r>
      <w:r>
        <w:rPr>
          <w:rStyle w:val="9"/>
        </w:rPr>
        <w:t>Reporter</w:t>
      </w:r>
      <w:r>
        <w:t xml:space="preserve">, and a </w:t>
      </w:r>
      <w:r>
        <w:rPr>
          <w:rStyle w:val="9"/>
        </w:rPr>
        <w:t>Date Range</w:t>
      </w:r>
      <w:r>
        <w:t>, which is essential for investigative analysis and efficient data retrieval.</w:t>
      </w:r>
    </w:p>
    <w:p w14:paraId="77E32B8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26BA286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  <w:r>
        <w:drawing>
          <wp:inline distT="0" distB="0" distL="114300" distR="114300">
            <wp:extent cx="5262880" cy="2729865"/>
            <wp:effectExtent l="0" t="0" r="20320" b="13335"/>
            <wp:docPr id="5" name="Picture 5" descr="2(i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2(ii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40C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Incident Detail View:</w:t>
      </w:r>
      <w:r>
        <w:t xml:space="preserve"> These images show a deep dive into a specific case (Incident Report ). They detail </w:t>
      </w:r>
      <w:r>
        <w:rPr>
          <w:rStyle w:val="9"/>
        </w:rPr>
        <w:t>Incident Information</w:t>
      </w:r>
      <w:r>
        <w:t xml:space="preserve"> (Type, Location, Date/Time), </w:t>
      </w:r>
      <w:r>
        <w:rPr>
          <w:rStyle w:val="9"/>
        </w:rPr>
        <w:t>Reporter Information</w:t>
      </w:r>
      <w:r>
        <w:t xml:space="preserve">, and a </w:t>
      </w:r>
      <w:r>
        <w:rPr>
          <w:rStyle w:val="9"/>
        </w:rPr>
        <w:t>Report Timeline</w:t>
      </w:r>
      <w:r>
        <w:t>—which logs when the report was created and last updated. This guarantees a verifiable audit trail for the case.</w:t>
      </w:r>
    </w:p>
    <w:p w14:paraId="749DD7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863D5B8">
      <w:pPr>
        <w:rPr>
          <w:rFonts w:hint="default"/>
          <w:lang w:val="en-US"/>
        </w:rPr>
      </w:pPr>
    </w:p>
    <w:p w14:paraId="5C7B8EA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2880" cy="2592070"/>
            <wp:effectExtent l="0" t="0" r="20320" b="24130"/>
            <wp:docPr id="6" name="Picture 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8DF7">
      <w:pPr>
        <w:rPr>
          <w:rFonts w:hint="default"/>
          <w:lang w:val="en-US"/>
        </w:rPr>
      </w:pPr>
    </w:p>
    <w:p w14:paraId="26657D32">
      <w:pPr>
        <w:rPr>
          <w:rFonts w:hint="default"/>
          <w:lang w:val="en-US"/>
        </w:rPr>
      </w:pPr>
    </w:p>
    <w:p w14:paraId="436E2F6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2880" cy="2335530"/>
            <wp:effectExtent l="0" t="0" r="20320" b="1270"/>
            <wp:docPr id="7" name="Picture 7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89ED">
      <w:pPr>
        <w:rPr>
          <w:rFonts w:hint="default"/>
          <w:lang w:val="en-US"/>
        </w:rPr>
      </w:pPr>
    </w:p>
    <w:p w14:paraId="4300E5B8">
      <w:pPr>
        <w:rPr>
          <w:rFonts w:hint="default"/>
          <w:lang w:val="en-US"/>
        </w:rPr>
      </w:pPr>
    </w:p>
    <w:p w14:paraId="7D723A8C">
      <w:pPr>
        <w:rPr>
          <w:rFonts w:hint="default"/>
          <w:lang w:val="en-US"/>
        </w:rPr>
      </w:pPr>
    </w:p>
    <w:p w14:paraId="104B7BC6">
      <w:pPr>
        <w:rPr>
          <w:rFonts w:hint="default"/>
          <w:lang w:val="en-US"/>
        </w:rPr>
      </w:pPr>
    </w:p>
    <w:p w14:paraId="214C419B">
      <w:pPr>
        <w:rPr>
          <w:rFonts w:hint="default"/>
          <w:lang w:val="en-US"/>
        </w:rPr>
      </w:pPr>
    </w:p>
    <w:p w14:paraId="3EAFBCD8">
      <w:pPr>
        <w:pStyle w:val="2"/>
        <w:keepNext w:val="0"/>
        <w:keepLines w:val="0"/>
        <w:widowControl/>
        <w:suppressLineNumbers w:val="0"/>
      </w:pPr>
      <w:bookmarkStart w:id="20" w:name="_Toc1755371484"/>
      <w:r>
        <w:rPr>
          <w:rFonts w:hint="default"/>
          <w:lang w:val="en-US"/>
        </w:rPr>
        <w:t>3.</w:t>
      </w:r>
      <w:r>
        <w:t>Legal Documentation and Charge Sheet Generation</w:t>
      </w:r>
      <w:bookmarkEnd w:id="20"/>
    </w:p>
    <w:p w14:paraId="0BE484F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Charge Sheet Form:</w:t>
      </w:r>
      <w:r>
        <w:t xml:space="preserve"> These images confirm the system’s primary legal function: generating formal Charge Sheets. The interface guides the user through linking the document to a specific </w:t>
      </w:r>
      <w:r>
        <w:rPr>
          <w:rStyle w:val="9"/>
        </w:rPr>
        <w:t>Incident</w:t>
      </w:r>
      <w:r>
        <w:t xml:space="preserve"> and recording mandatory legal details, including:</w:t>
      </w:r>
    </w:p>
    <w:p w14:paraId="4EDC6627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Charge Sheet Number</w:t>
      </w:r>
      <w:r>
        <w:t xml:space="preserve"> and </w:t>
      </w:r>
      <w:r>
        <w:rPr>
          <w:rStyle w:val="9"/>
        </w:rPr>
        <w:t>Issuing Officer</w:t>
      </w:r>
      <w:r>
        <w:t>.</w:t>
      </w:r>
    </w:p>
    <w:p w14:paraId="4FF0C82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2880" cy="2644775"/>
            <wp:effectExtent l="0" t="0" r="20320" b="22225"/>
            <wp:docPr id="8" name="Picture 8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1766">
      <w:pPr>
        <w:rPr>
          <w:rFonts w:hint="default"/>
          <w:lang w:val="en-US"/>
        </w:rPr>
      </w:pPr>
    </w:p>
    <w:p w14:paraId="0D9B757F">
      <w:pPr>
        <w:rPr>
          <w:rFonts w:hint="default"/>
          <w:lang w:val="en-US"/>
        </w:rPr>
      </w:pPr>
    </w:p>
    <w:p w14:paraId="2848CCF4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Suspect Information</w:t>
      </w:r>
      <w:r>
        <w:t>.</w:t>
      </w:r>
    </w:p>
    <w:p w14:paraId="00597515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Charges</w:t>
      </w:r>
      <w:r>
        <w:t xml:space="preserve">, </w:t>
      </w:r>
      <w:r>
        <w:rPr>
          <w:rStyle w:val="9"/>
        </w:rPr>
        <w:t>Facts of Case</w:t>
      </w:r>
      <w:r>
        <w:t xml:space="preserve">, and </w:t>
      </w:r>
      <w:r>
        <w:rPr>
          <w:rStyle w:val="9"/>
        </w:rPr>
        <w:t>Evidence</w:t>
      </w:r>
      <w:r>
        <w:t>.</w:t>
      </w:r>
    </w:p>
    <w:p w14:paraId="09AE0F0C">
      <w:pPr>
        <w:pStyle w:val="8"/>
        <w:keepNext w:val="0"/>
        <w:keepLines w:val="0"/>
        <w:widowControl/>
        <w:suppressLineNumbers w:val="0"/>
        <w:ind w:left="1440"/>
      </w:pPr>
    </w:p>
    <w:p w14:paraId="3CC11C37">
      <w:pPr>
        <w:pStyle w:val="8"/>
        <w:keepNext w:val="0"/>
        <w:keepLines w:val="0"/>
        <w:widowControl/>
        <w:suppressLineNumbers w:val="0"/>
        <w:ind w:left="1440"/>
      </w:pPr>
    </w:p>
    <w:p w14:paraId="6C818140">
      <w:pPr>
        <w:pStyle w:val="8"/>
        <w:keepNext w:val="0"/>
        <w:keepLines w:val="0"/>
        <w:widowControl/>
        <w:suppressLineNumbers w:val="0"/>
        <w:ind w:left="1440"/>
      </w:pPr>
      <w:r>
        <w:rPr>
          <w:rFonts w:hint="default"/>
          <w:lang w:val="en-US"/>
        </w:rPr>
        <w:drawing>
          <wp:inline distT="0" distB="0" distL="114300" distR="114300">
            <wp:extent cx="5262880" cy="2776220"/>
            <wp:effectExtent l="0" t="0" r="20320" b="17780"/>
            <wp:docPr id="9" name="Picture 9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EC36">
      <w:pPr>
        <w:pStyle w:val="8"/>
        <w:keepNext w:val="0"/>
        <w:keepLines w:val="0"/>
        <w:widowControl/>
        <w:suppressLineNumbers w:val="0"/>
        <w:ind w:left="1440"/>
        <w:rPr>
          <w:rStyle w:val="9"/>
        </w:rPr>
      </w:pPr>
    </w:p>
    <w:p w14:paraId="60EFC44C">
      <w:pPr>
        <w:pStyle w:val="8"/>
        <w:keepNext w:val="0"/>
        <w:keepLines w:val="0"/>
        <w:widowControl/>
        <w:suppressLineNumbers w:val="0"/>
        <w:ind w:left="1440"/>
        <w:rPr>
          <w:rStyle w:val="9"/>
        </w:rPr>
      </w:pPr>
    </w:p>
    <w:p w14:paraId="54AA90C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Bail Conditions</w:t>
      </w:r>
      <w:r>
        <w:t>.</w:t>
      </w:r>
    </w:p>
    <w:p w14:paraId="5E94B80D">
      <w:pPr>
        <w:pStyle w:val="8"/>
        <w:keepNext w:val="0"/>
        <w:keepLines w:val="0"/>
        <w:widowControl/>
        <w:suppressLineNumbers w:val="0"/>
      </w:pPr>
      <w:r>
        <w:t xml:space="preserve">The final output can be saved with a specific </w:t>
      </w:r>
      <w:r>
        <w:rPr>
          <w:rStyle w:val="9"/>
        </w:rPr>
        <w:t>Status</w:t>
      </w:r>
      <w:r>
        <w:t xml:space="preserve"> (e.g., Pending), ensuring proper case management continuity.</w:t>
      </w:r>
    </w:p>
    <w:p w14:paraId="2E1FDA3E">
      <w:pPr>
        <w:pStyle w:val="8"/>
        <w:keepNext w:val="0"/>
        <w:keepLines w:val="0"/>
        <w:widowControl/>
        <w:suppressLineNumbers w:val="0"/>
        <w:ind w:left="1440"/>
      </w:pPr>
    </w:p>
    <w:p w14:paraId="724A0649">
      <w:pPr>
        <w:pStyle w:val="2"/>
        <w:keepNext w:val="0"/>
        <w:keepLines w:val="0"/>
        <w:widowControl/>
        <w:suppressLineNumbers w:val="0"/>
      </w:pPr>
      <w:bookmarkStart w:id="21" w:name="_Toc398189102"/>
      <w:r>
        <w:rPr>
          <w:rFonts w:hint="default"/>
          <w:lang w:val="en-US"/>
        </w:rPr>
        <w:t>4.</w:t>
      </w:r>
      <w:r>
        <w:t>Final Charge Sheet Output</w:t>
      </w:r>
      <w:bookmarkEnd w:id="21"/>
      <w:r>
        <w:t xml:space="preserve"> </w:t>
      </w:r>
    </w:p>
    <w:p w14:paraId="626167D1">
      <w:pPr>
        <w:pStyle w:val="8"/>
        <w:keepNext w:val="0"/>
        <w:keepLines w:val="0"/>
        <w:widowControl/>
        <w:suppressLineNumbers w:val="0"/>
      </w:pPr>
      <w:r>
        <w:t>These images represent the output phase of the workflow (the "Print" function), confirming that all data entered in the creation form is compiled into a professional document.</w:t>
      </w:r>
    </w:p>
    <w:p w14:paraId="2C765A99">
      <w:pPr>
        <w:pStyle w:val="8"/>
        <w:keepNext w:val="0"/>
        <w:keepLines w:val="0"/>
        <w:widowControl/>
        <w:suppressLineNumbers w:val="0"/>
        <w:ind w:left="1440"/>
      </w:pPr>
    </w:p>
    <w:p w14:paraId="5D6DBAB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Header, Charge Sheet Details, Related Incident, Suspect Information</w:t>
      </w:r>
    </w:p>
    <w:p w14:paraId="2BC19072">
      <w:pPr>
        <w:pStyle w:val="8"/>
        <w:keepNext w:val="0"/>
        <w:keepLines w:val="0"/>
        <w:widowControl/>
        <w:suppressLineNumbers w:val="0"/>
      </w:pPr>
      <w:r>
        <w:t xml:space="preserve">Confirms the header is clearly titled </w:t>
      </w:r>
      <w:r>
        <w:rPr>
          <w:rStyle w:val="9"/>
        </w:rPr>
        <w:t>CHARGE SHEET</w:t>
      </w:r>
      <w:r>
        <w:t xml:space="preserve"> and includes the unique </w:t>
      </w:r>
      <w:r>
        <w:rPr>
          <w:rStyle w:val="9"/>
        </w:rPr>
        <w:t>Charge Sheet Number (01)</w:t>
      </w:r>
      <w:r>
        <w:t xml:space="preserve"> and </w:t>
      </w:r>
      <w:r>
        <w:rPr>
          <w:rStyle w:val="9"/>
        </w:rPr>
        <w:t>Date Issued (2025-11-24)</w:t>
      </w:r>
      <w:r>
        <w:t xml:space="preserve">. It successfully links back to the </w:t>
      </w:r>
      <w:r>
        <w:rPr>
          <w:rStyle w:val="9"/>
        </w:rPr>
        <w:t>Related Incident</w:t>
      </w:r>
      <w:r>
        <w:t xml:space="preserve"> (e.g., Accident) and lists the full </w:t>
      </w:r>
      <w:r>
        <w:rPr>
          <w:rStyle w:val="9"/>
        </w:rPr>
        <w:t>Suspect Information</w:t>
      </w:r>
      <w:r>
        <w:t xml:space="preserve"> (Name, ID, Phone).</w:t>
      </w:r>
    </w:p>
    <w:p w14:paraId="6302B7B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4004310"/>
            <wp:effectExtent l="0" t="0" r="15875" b="8890"/>
            <wp:docPr id="10" name="Picture 10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D538">
      <w:pPr>
        <w:rPr>
          <w:rFonts w:hint="default"/>
          <w:lang w:val="en-US"/>
        </w:rPr>
      </w:pPr>
    </w:p>
    <w:p w14:paraId="55B2E400">
      <w:pPr>
        <w:rPr>
          <w:rFonts w:hint="default"/>
          <w:lang w:val="en-US"/>
        </w:rPr>
      </w:pPr>
    </w:p>
    <w:p w14:paraId="5449AB4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Charges, Facts of the Case, Evidence</w:t>
      </w:r>
    </w:p>
    <w:p w14:paraId="0C155E6E">
      <w:pPr>
        <w:pStyle w:val="8"/>
        <w:keepNext w:val="0"/>
        <w:keepLines w:val="0"/>
        <w:widowControl/>
        <w:suppressLineNumbers w:val="0"/>
      </w:pPr>
      <w:r>
        <w:t xml:space="preserve">This section displays the critical legal documentation fields: The specific </w:t>
      </w:r>
      <w:r>
        <w:rPr>
          <w:rStyle w:val="9"/>
        </w:rPr>
        <w:t>CHARGES</w:t>
      </w:r>
      <w:r>
        <w:t xml:space="preserve"> filed ("drunk driving"), the narrative </w:t>
      </w:r>
      <w:r>
        <w:rPr>
          <w:rStyle w:val="9"/>
        </w:rPr>
        <w:t>FACTS OF THE CASE</w:t>
      </w:r>
      <w:r>
        <w:t xml:space="preserve"> ("Guilty"), and the logged </w:t>
      </w:r>
      <w:r>
        <w:rPr>
          <w:rStyle w:val="9"/>
        </w:rPr>
        <w:t>EVIDENCE</w:t>
      </w:r>
      <w:r>
        <w:t>. This validates that the system maintains all data required for court submission.</w:t>
      </w:r>
    </w:p>
    <w:p w14:paraId="6A4E359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3940175"/>
            <wp:effectExtent l="0" t="0" r="11430" b="22225"/>
            <wp:docPr id="11" name="Picture 11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5E17">
      <w:pPr>
        <w:rPr>
          <w:rFonts w:hint="default"/>
          <w:lang w:val="en-US"/>
        </w:rPr>
      </w:pPr>
    </w:p>
    <w:p w14:paraId="4498CD2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Witnesses, Bail, Court Information, Signatures</w:t>
      </w:r>
    </w:p>
    <w:p w14:paraId="5B12E1EA">
      <w:pPr>
        <w:pStyle w:val="8"/>
        <w:keepNext w:val="0"/>
        <w:keepLines w:val="0"/>
        <w:widowControl/>
        <w:suppressLineNumbers w:val="0"/>
      </w:pPr>
      <w:r>
        <w:t xml:space="preserve">This concludes the document, showing the list of </w:t>
      </w:r>
      <w:r>
        <w:rPr>
          <w:rStyle w:val="9"/>
        </w:rPr>
        <w:t>WITNESSES</w:t>
      </w:r>
      <w:r>
        <w:t xml:space="preserve">, the imposed </w:t>
      </w:r>
      <w:r>
        <w:rPr>
          <w:rStyle w:val="9"/>
        </w:rPr>
        <w:t>BAIL CONDITIONS</w:t>
      </w:r>
      <w:r>
        <w:t xml:space="preserve"> ("Flight risk"), and the </w:t>
      </w:r>
      <w:r>
        <w:rPr>
          <w:rStyle w:val="9"/>
        </w:rPr>
        <w:t>COURT INFORMATION</w:t>
      </w:r>
      <w:r>
        <w:t xml:space="preserve"> (Name: kibra, Date: 2025-11-26). Crucially, it includes dedicated lines for </w:t>
      </w:r>
      <w:r>
        <w:rPr>
          <w:rStyle w:val="9"/>
        </w:rPr>
        <w:t>Issuing Officer Signature</w:t>
      </w:r>
      <w:r>
        <w:t xml:space="preserve"> and </w:t>
      </w:r>
      <w:r>
        <w:rPr>
          <w:rStyle w:val="9"/>
        </w:rPr>
        <w:t>Suspect Signature</w:t>
      </w:r>
      <w:r>
        <w:t>, verifying the document is ready for official sign-off and physical recording.</w:t>
      </w:r>
    </w:p>
    <w:p w14:paraId="1352D5A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5420" cy="4058920"/>
            <wp:effectExtent l="0" t="0" r="17780" b="5080"/>
            <wp:docPr id="12" name="Picture 12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Damascus Regular">
    <w:panose1 w:val="00000400000000000000"/>
    <w:charset w:val="00"/>
    <w:family w:val="auto"/>
    <w:pitch w:val="default"/>
    <w:sig w:usb0="80002000" w:usb1="80000000" w:usb2="00000080" w:usb3="00000000" w:csb0="00000040" w:csb1="00000000"/>
  </w:font>
  <w:font w:name="Avenir Book">
    <w:panose1 w:val="02000503020000020003"/>
    <w:charset w:val="00"/>
    <w:family w:val="auto"/>
    <w:pitch w:val="default"/>
    <w:sig w:usb0="800000AF" w:usb1="5000204A" w:usb2="00000000" w:usb3="00000000" w:csb0="0000009B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 Tarikh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Al Nile Regular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D7FD16"/>
    <w:multiLevelType w:val="singleLevel"/>
    <w:tmpl w:val="B5D7FD16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A5F8C34"/>
    <w:multiLevelType w:val="singleLevel"/>
    <w:tmpl w:val="BA5F8C34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BDEF8A58"/>
    <w:multiLevelType w:val="singleLevel"/>
    <w:tmpl w:val="BDEF8A5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DB15CAE"/>
    <w:multiLevelType w:val="singleLevel"/>
    <w:tmpl w:val="DDB15CAE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E3E7BDD3"/>
    <w:multiLevelType w:val="singleLevel"/>
    <w:tmpl w:val="E3E7BDD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F9BB3BE5"/>
    <w:multiLevelType w:val="singleLevel"/>
    <w:tmpl w:val="F9BB3BE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FAD2C197"/>
    <w:multiLevelType w:val="singleLevel"/>
    <w:tmpl w:val="FAD2C197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FDBFEAF5"/>
    <w:multiLevelType w:val="singleLevel"/>
    <w:tmpl w:val="FDBFEAF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3DFE2FB4"/>
    <w:multiLevelType w:val="multilevel"/>
    <w:tmpl w:val="3DFE2F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FF71D5A"/>
    <w:multiLevelType w:val="multilevel"/>
    <w:tmpl w:val="3FF71D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9"/>
  </w:num>
  <w:num w:numId="5">
    <w:abstractNumId w:val="3"/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0"/>
  </w:num>
  <w:num w:numId="9">
    <w:abstractNumId w:val="1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376AF0"/>
    <w:rsid w:val="D737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paragraph" w:styleId="10">
    <w:name w:val="toc 2"/>
    <w:basedOn w:val="1"/>
    <w:next w:val="1"/>
    <w:uiPriority w:val="0"/>
    <w:pPr>
      <w:ind w:left="420" w:leftChars="200"/>
    </w:pPr>
  </w:style>
  <w:style w:type="paragraph" w:styleId="11">
    <w:name w:val="toc 3"/>
    <w:basedOn w:val="1"/>
    <w:next w:val="1"/>
    <w:uiPriority w:val="0"/>
    <w:pPr>
      <w:ind w:left="840" w:leftChars="400"/>
    </w:pPr>
  </w:style>
  <w:style w:type="paragraph" w:customStyle="1" w:styleId="12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3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2025-11-27T17:36:00Z</dcterms:created>
  <dc:creator>MUASA MARION MWENDE</dc:creator>
  <cp:lastModifiedBy>MUASA MARION MWENDE</cp:lastModifiedBy>
  <dcterms:modified xsi:type="dcterms:W3CDTF">2025-11-27T18:45:49Z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C91143EE06BA2DBBD6612869990F349C_41</vt:lpwstr>
  </property>
</Properties>
</file>