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合併表格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跨欄表頭</w:t>
            </w:r>
          </w:p>
        </w:tc>
      </w:tr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基準</w:t>
            </w:r>
          </w:p>
        </w:tc>
        <w:tc>
          <w:tcPr>
            <w:tcW w:type="dxa" w:w="2880"/>
          </w:tcPr>
          <w:p>
            <w:r>
              <w:t>結果</w:t>
            </w:r>
          </w:p>
        </w:tc>
      </w:tr>
      <w:tr>
        <w:tc>
          <w:tcPr>
            <w:tcW w:type="dxa" w:w="2880"/>
          </w:tcPr>
          <w:p>
            <w:r>
              <w:t>資本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