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策略總覽</w:t>
      </w:r>
    </w:p>
    <w:p>
      <w:r>
        <w:rPr>
          <w:b/>
        </w:rPr>
        <w:t xml:space="preserve">Rust Office </w:t>
      </w:r>
      <w:r>
        <w:t>保留文件結構與繁體中文。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格式</w:t>
            </w:r>
          </w:p>
        </w:tc>
        <w:tc>
          <w:tcPr>
            <w:tcW w:type="dxa" w:w="4320"/>
          </w:tcPr>
          <w:p>
            <w:r>
              <w:t>支援</w:t>
            </w:r>
          </w:p>
        </w:tc>
      </w:tr>
      <w:tr>
        <w:tc>
          <w:tcPr>
            <w:tcW w:type="dxa" w:w="4320"/>
          </w:tcPr>
          <w:p>
            <w:r>
              <w:t>DOCX</w:t>
            </w:r>
          </w:p>
        </w:tc>
        <w:tc>
          <w:tcPr>
            <w:tcW w:type="dxa" w:w="4320"/>
          </w:tcPr>
          <w:p>
            <w:r>
              <w:t>段落與表格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