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包装工序精益应用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将精益工具应用于金属紧固件包装（Packaging）工序的实践指南。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包装是紧固件制造的最后工序，包括分选（自动筛选不合格品）、称重、装袋/装箱、贴标、入库。是防混料和追溯管理的关键环节。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自动分选机、称重包装机、贴标机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称重精度、标签准确率、混料率、包装完整性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混料风险、称重误差、标签错误、包装材料浪费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在包装工序的应用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包装材料定置、成品区域划分、工位整洁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找料时间减少 85%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包装操作标准、换型标准、检验标准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包装设备日常保养、称重传感器校准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称重超差报警、混料检测、设备异常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称重防混、标签防错、追溯码校验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包装材料补货信号、成品入库拉动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包装材料库存降低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包装效率提升、材料节约、自动化升级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20-40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防混料体系（零混料目标）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混料是紧固件包装最严重的质量事故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追溯码系统</w:t>
      </w:r>
      <w:r>
        <w:rPr>
          <w:rFonts w:ascii="SimSun" w:hAnsi="SimSun"/>
          <w:b w:val="0"/>
          <w:i w:val="0"/>
          <w:sz w:val="22"/>
        </w:rPr>
        <w:t>：每批次产品赋予唯一条码，包装时扫码校验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称重防混</w:t>
      </w:r>
      <w:r>
        <w:rPr>
          <w:rFonts w:ascii="SimSun" w:hAnsi="SimSun"/>
          <w:b w:val="0"/>
          <w:i w:val="0"/>
          <w:sz w:val="22"/>
        </w:rPr>
        <w:t>：不同规格产品重量差异大，称重自动识别（如 M8 与 M10 重量差 &gt;50%）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视觉检测</w:t>
      </w:r>
      <w:r>
        <w:rPr>
          <w:rFonts w:ascii="SimSun" w:hAnsi="SimSun"/>
          <w:b w:val="0"/>
          <w:i w:val="0"/>
          <w:sz w:val="22"/>
        </w:rPr>
        <w:t>：包装前外观自动检测，识别不同头型/表面处理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：换型清场标准（前批次产品 100% 清离工位）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>：混料检测触发红色警报，立即停线排查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混料事故归零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客户投诉归零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称重精度提升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：称重传感器定期校准（每周）、日常点检（每班）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：双传感器交叉验证、超差自动剔除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</w:t>
      </w:r>
      <w:r>
        <w:rPr>
          <w:rFonts w:ascii="SimSun" w:hAnsi="SimSun"/>
          <w:b w:val="0"/>
          <w:i w:val="0"/>
          <w:sz w:val="22"/>
        </w:rPr>
        <w:t>：称重数据实时统计，趋势预警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：称重操作标准（清零、放置方式、读数确认）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标签准确性管理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常见问题</w:t>
      </w:r>
      <w:r>
        <w:rPr>
          <w:rFonts w:ascii="SimSun" w:hAnsi="SimSun"/>
          <w:b w:val="0"/>
          <w:i w:val="0"/>
          <w:sz w:val="22"/>
        </w:rPr>
        <w:t>：标签信息错误、贴标位置不正、标签脱落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：条码系统自动生成标签，扫码校验产品信息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：贴标位置标准、贴标后检查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</w:t>
      </w:r>
      <w:r>
        <w:rPr>
          <w:rFonts w:ascii="SimSun" w:hAnsi="SimSun"/>
          <w:b w:val="0"/>
          <w:i w:val="0"/>
          <w:sz w:val="22"/>
        </w:rPr>
        <w:t>：标签样品展示板（正确 vs 错误对比）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0.1%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±2%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称重系统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标签准确率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扫码校验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包装效率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 20%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产出统计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包装材料浪费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消耗统计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重点活动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1-2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导入、防混料标准作业建立、追溯码系统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3-4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称重精度提升、标签防错、TPM 导入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5-6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安灯系统、看板系统、自动化升级评估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7-12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持续改善、效率提升、材料节约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混料和标签防错核心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5S 管理</w:t>
      </w:r>
      <w:r>
        <w:rPr>
          <w:rFonts w:ascii="SimSun" w:hAnsi="SimSun"/>
          <w:b w:val="0"/>
          <w:i w:val="0"/>
          <w:sz w:val="22"/>
        </w:rPr>
        <w:t xml:space="preserve"> — 现场组织基础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包装操作标准化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异常响应机制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看板</w:t>
      </w:r>
      <w:r>
        <w:rPr>
          <w:rFonts w:ascii="SimSun" w:hAnsi="SimSun"/>
          <w:b w:val="0"/>
          <w:i w:val="0"/>
          <w:sz w:val="22"/>
        </w:rPr>
        <w:t xml:space="preserve"> — 包装材料补货和成品入库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包装工序精益应用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