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/>
          <w:b/>
          <w:i w:val="0"/>
          <w:sz w:val="44"/>
        </w:rPr>
        <w:t>培训预算与资源规划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1. 预算科目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1.1 外部培训费用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科目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预算范围（年度）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外部课程费用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参加专业机构的精益培训课程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5-10万元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外部讲师费用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聘请外部精益专家授课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3-8万元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行业交流费用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参加精益峰会、行业交流活动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2-5万元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标杆考察费用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到标杆企业参观学习（含差旅）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3-5万元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小计</w:t>
            </w:r>
          </w:p>
        </w:tc>
        <w:tc>
          <w:tcPr>
            <w:tcW w:type="dxa" w:w="2767"/>
          </w:tcPr>
          <w:p>
            <w:r/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13-28万元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1.2 内部讲师费用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科目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预算范围（年度）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内部讲师津贴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按课时支付讲师授课报酬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3-6万元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讲师培训费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内部讲师TTT（培训培训师）培训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1-2万元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讲师激励费用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优秀讲师奖励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0.5-1万元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小计</w:t>
            </w:r>
          </w:p>
        </w:tc>
        <w:tc>
          <w:tcPr>
            <w:tcW w:type="dxa" w:w="2767"/>
            <w:shd w:fill="EDF2F9" w:val="clear"/>
          </w:tcPr>
          <w:p>
            <w:r/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4.5-9万元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1.3 教材与资料费用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科目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预算范围（年度）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精益书籍采购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精益相关书籍和参考资料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0.5-1万元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课件开发费用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课件设计、制作、印刷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1-2万元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案例集编制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行业案例收集和编制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0.5-1万元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视频教材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精益教学视频采购或制作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1-3万元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小计</w:t>
            </w:r>
          </w:p>
        </w:tc>
        <w:tc>
          <w:tcPr>
            <w:tcW w:type="dxa" w:w="2767"/>
          </w:tcPr>
          <w:p>
            <w:r/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3-7万元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1.4 模拟道具与工装费用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科目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预算范围（一次性）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模拟工位建设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精益模拟工位搭建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5-15万元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模拟道具采购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SMED演练道具、看板道具等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2-5万元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工具套件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问题分析工具包、测量工具等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1-2万元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小计</w:t>
            </w:r>
          </w:p>
        </w:tc>
        <w:tc>
          <w:tcPr>
            <w:tcW w:type="dxa" w:w="2767"/>
            <w:shd w:fill="EDF2F9" w:val="clear"/>
          </w:tcPr>
          <w:p>
            <w:r/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8-22万元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1.5 认证费用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科目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预算范围（年度）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外部认证考试费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员工参加外部精益认证考试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2-5万元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证书制作费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内部认证证书制作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0.2-0.5万元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认证评审费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认证评审委员会运营费用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0.5-1万元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小计</w:t>
            </w:r>
          </w:p>
        </w:tc>
        <w:tc>
          <w:tcPr>
            <w:tcW w:type="dxa" w:w="2767"/>
            <w:shd w:fill="EDF2F9" w:val="clear"/>
          </w:tcPr>
          <w:p>
            <w:r/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2.7-6.5万元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2. 资源需求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2.1 培训教室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需求项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规格要求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数量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大型培训室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容纳50人，配备投影、白板、音响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1间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高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中型培训室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容纳20人，配备投影、白板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2间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高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小型研讨室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容纳8-10人，适合小组讨论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2间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中</w:t>
            </w:r>
          </w:p>
        </w:tc>
      </w:tr>
    </w:tbl>
    <w:p/>
    <w:p>
      <w:pPr>
        <w:spacing w:after="120"/>
      </w:pPr>
      <w:r>
        <w:rPr>
          <w:rFonts w:ascii="SimSun" w:hAnsi="SimSun"/>
          <w:b/>
          <w:i w:val="0"/>
          <w:sz w:val="22"/>
        </w:rPr>
        <w:t>教室配套要求：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灵活可移动的桌椅，便于分组讨论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充足的电源插座和网络接口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白板和投影设备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培训教具存放空间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2.2 在线学习平台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需求项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E-learning平台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支持在线课程学习、考试、证书管理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高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视频录制设备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用于录制内部培训视频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中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学习管理系统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追踪学员学习进度和成绩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高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移动端支持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支持手机端碎片化学习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低</w:t>
            </w:r>
          </w:p>
        </w:tc>
      </w:tr>
    </w:tbl>
    <w:p/>
    <w:p>
      <w:pPr>
        <w:spacing w:after="120"/>
      </w:pPr>
      <w:r>
        <w:rPr>
          <w:rFonts w:ascii="SimSun" w:hAnsi="SimSun"/>
          <w:b/>
          <w:i w:val="0"/>
          <w:sz w:val="22"/>
        </w:rPr>
        <w:t>平台功能要求：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课程管理：支持上传课件、视频、测试题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学员管理：学员注册、分组、进度追踪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考试系统：在线考试、自动评分、成绩统计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证书管理：电子证书颁发和查询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数据统计：学习数据分析和报表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2.3 模拟工位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需求项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数量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冲压模拟工位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小型冲压设备，用于SMED演练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1套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高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装配模拟工位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模拟产品装配流程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1套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中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5S样板区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5S实施标准展示区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1个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高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看板模拟区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看板系统运行模拟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1套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中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防错展示区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各类防错装置展示和体验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1个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中</w:t>
            </w:r>
          </w:p>
        </w:tc>
      </w:tr>
    </w:tbl>
    <w:p/>
    <w:p>
      <w:pPr>
        <w:spacing w:after="120"/>
      </w:pPr>
      <w:r>
        <w:rPr>
          <w:rFonts w:ascii="SimSun" w:hAnsi="SimSun"/>
          <w:b/>
          <w:i w:val="0"/>
          <w:sz w:val="22"/>
        </w:rPr>
        <w:t>工位要求：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与实际生产环境尽可能接近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配备必要的工具和物料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安全防护设施完善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便于教学演示和学员操作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3. 年度预算模板框架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3.1 年度培训预算汇总表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9"/>
        <w:gridCol w:w="1079"/>
        <w:gridCol w:w="1079"/>
        <w:gridCol w:w="1079"/>
        <w:gridCol w:w="1079"/>
        <w:gridCol w:w="1079"/>
        <w:gridCol w:w="1079"/>
        <w:gridCol w:w="1079"/>
      </w:tblGrid>
      <w:tr>
        <w:tc>
          <w:tcPr>
            <w:tcW w:type="dxa" w:w="103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序号</w:t>
            </w:r>
          </w:p>
        </w:tc>
        <w:tc>
          <w:tcPr>
            <w:tcW w:type="dxa" w:w="103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费用科目</w:t>
            </w:r>
          </w:p>
        </w:tc>
        <w:tc>
          <w:tcPr>
            <w:tcW w:type="dxa" w:w="103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Q1（万元）</w:t>
            </w:r>
          </w:p>
        </w:tc>
        <w:tc>
          <w:tcPr>
            <w:tcW w:type="dxa" w:w="103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Q2（万元）</w:t>
            </w:r>
          </w:p>
        </w:tc>
        <w:tc>
          <w:tcPr>
            <w:tcW w:type="dxa" w:w="103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Q3（万元）</w:t>
            </w:r>
          </w:p>
        </w:tc>
        <w:tc>
          <w:tcPr>
            <w:tcW w:type="dxa" w:w="103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Q4（万元）</w:t>
            </w:r>
          </w:p>
        </w:tc>
        <w:tc>
          <w:tcPr>
            <w:tcW w:type="dxa" w:w="103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年度合计（万元）</w:t>
            </w:r>
          </w:p>
        </w:tc>
        <w:tc>
          <w:tcPr>
            <w:tcW w:type="dxa" w:w="103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占比</w:t>
            </w:r>
          </w:p>
        </w:tc>
      </w:tr>
      <w:tr>
        <w:tc>
          <w:tcPr>
            <w:tcW w:type="dxa" w:w="103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03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外部培训费用</w:t>
            </w:r>
          </w:p>
        </w:tc>
        <w:tc>
          <w:tcPr>
            <w:tcW w:type="dxa" w:w="103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103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4.0</w:t>
            </w:r>
          </w:p>
        </w:tc>
        <w:tc>
          <w:tcPr>
            <w:tcW w:type="dxa" w:w="103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3.5</w:t>
            </w:r>
          </w:p>
        </w:tc>
        <w:tc>
          <w:tcPr>
            <w:tcW w:type="dxa" w:w="103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2.5</w:t>
            </w:r>
          </w:p>
        </w:tc>
        <w:tc>
          <w:tcPr>
            <w:tcW w:type="dxa" w:w="103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13.0</w:t>
            </w:r>
          </w:p>
        </w:tc>
        <w:tc>
          <w:tcPr>
            <w:tcW w:type="dxa" w:w="103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25%</w:t>
            </w:r>
          </w:p>
        </w:tc>
      </w:tr>
      <w:tr>
        <w:tc>
          <w:tcPr>
            <w:tcW w:type="dxa" w:w="103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03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内部讲师费用</w:t>
            </w:r>
          </w:p>
        </w:tc>
        <w:tc>
          <w:tcPr>
            <w:tcW w:type="dxa" w:w="103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03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103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03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03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4.5</w:t>
            </w:r>
          </w:p>
        </w:tc>
        <w:tc>
          <w:tcPr>
            <w:tcW w:type="dxa" w:w="103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9%</w:t>
            </w:r>
          </w:p>
        </w:tc>
      </w:tr>
      <w:tr>
        <w:tc>
          <w:tcPr>
            <w:tcW w:type="dxa" w:w="103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03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教材与资料费用</w:t>
            </w:r>
          </w:p>
        </w:tc>
        <w:tc>
          <w:tcPr>
            <w:tcW w:type="dxa" w:w="103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03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103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103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03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103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6%</w:t>
            </w:r>
          </w:p>
        </w:tc>
      </w:tr>
      <w:tr>
        <w:tc>
          <w:tcPr>
            <w:tcW w:type="dxa" w:w="103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03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模拟道具与工装</w:t>
            </w:r>
          </w:p>
        </w:tc>
        <w:tc>
          <w:tcPr>
            <w:tcW w:type="dxa" w:w="103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5.0</w:t>
            </w:r>
          </w:p>
        </w:tc>
        <w:tc>
          <w:tcPr>
            <w:tcW w:type="dxa" w:w="103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03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03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03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8.0</w:t>
            </w:r>
          </w:p>
        </w:tc>
        <w:tc>
          <w:tcPr>
            <w:tcW w:type="dxa" w:w="103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15%</w:t>
            </w:r>
          </w:p>
        </w:tc>
      </w:tr>
      <w:tr>
        <w:tc>
          <w:tcPr>
            <w:tcW w:type="dxa" w:w="103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03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认证费用</w:t>
            </w:r>
          </w:p>
        </w:tc>
        <w:tc>
          <w:tcPr>
            <w:tcW w:type="dxa" w:w="103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103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03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103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0.7</w:t>
            </w:r>
          </w:p>
        </w:tc>
        <w:tc>
          <w:tcPr>
            <w:tcW w:type="dxa" w:w="103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2.7</w:t>
            </w:r>
          </w:p>
        </w:tc>
        <w:tc>
          <w:tcPr>
            <w:tcW w:type="dxa" w:w="103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5%</w:t>
            </w:r>
          </w:p>
        </w:tc>
      </w:tr>
      <w:tr>
        <w:tc>
          <w:tcPr>
            <w:tcW w:type="dxa" w:w="103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03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在线平台费用</w:t>
            </w:r>
          </w:p>
        </w:tc>
        <w:tc>
          <w:tcPr>
            <w:tcW w:type="dxa" w:w="103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03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103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103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103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2.5</w:t>
            </w:r>
          </w:p>
        </w:tc>
        <w:tc>
          <w:tcPr>
            <w:tcW w:type="dxa" w:w="103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5%</w:t>
            </w:r>
          </w:p>
        </w:tc>
      </w:tr>
      <w:tr>
        <w:tc>
          <w:tcPr>
            <w:tcW w:type="dxa" w:w="103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03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差旅费用</w:t>
            </w:r>
          </w:p>
        </w:tc>
        <w:tc>
          <w:tcPr>
            <w:tcW w:type="dxa" w:w="103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103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2.0</w:t>
            </w:r>
          </w:p>
        </w:tc>
        <w:tc>
          <w:tcPr>
            <w:tcW w:type="dxa" w:w="103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103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03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6.0</w:t>
            </w:r>
          </w:p>
        </w:tc>
        <w:tc>
          <w:tcPr>
            <w:tcW w:type="dxa" w:w="103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12%</w:t>
            </w:r>
          </w:p>
        </w:tc>
      </w:tr>
      <w:tr>
        <w:tc>
          <w:tcPr>
            <w:tcW w:type="dxa" w:w="103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03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场地租赁费用</w:t>
            </w:r>
          </w:p>
        </w:tc>
        <w:tc>
          <w:tcPr>
            <w:tcW w:type="dxa" w:w="103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03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103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03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03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4.5</w:t>
            </w:r>
          </w:p>
        </w:tc>
        <w:tc>
          <w:tcPr>
            <w:tcW w:type="dxa" w:w="103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9%</w:t>
            </w:r>
          </w:p>
        </w:tc>
      </w:tr>
      <w:tr>
        <w:tc>
          <w:tcPr>
            <w:tcW w:type="dxa" w:w="103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03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预备金（10%）</w:t>
            </w:r>
          </w:p>
        </w:tc>
        <w:tc>
          <w:tcPr>
            <w:tcW w:type="dxa" w:w="103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1.4</w:t>
            </w:r>
          </w:p>
        </w:tc>
        <w:tc>
          <w:tcPr>
            <w:tcW w:type="dxa" w:w="103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1.2</w:t>
            </w:r>
          </w:p>
        </w:tc>
        <w:tc>
          <w:tcPr>
            <w:tcW w:type="dxa" w:w="103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0.9</w:t>
            </w:r>
          </w:p>
        </w:tc>
        <w:tc>
          <w:tcPr>
            <w:tcW w:type="dxa" w:w="103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0.9</w:t>
            </w:r>
          </w:p>
        </w:tc>
        <w:tc>
          <w:tcPr>
            <w:tcW w:type="dxa" w:w="103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4.4</w:t>
            </w:r>
          </w:p>
        </w:tc>
        <w:tc>
          <w:tcPr>
            <w:tcW w:type="dxa" w:w="103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8%</w:t>
            </w:r>
          </w:p>
        </w:tc>
      </w:tr>
      <w:tr>
        <w:tc>
          <w:tcPr>
            <w:tcW w:type="dxa" w:w="1037"/>
            <w:shd w:fill="EDF2F9" w:val="clear"/>
          </w:tcPr>
          <w:p>
            <w:r/>
          </w:p>
        </w:tc>
        <w:tc>
          <w:tcPr>
            <w:tcW w:type="dxa" w:w="103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合计</w:t>
            </w:r>
          </w:p>
        </w:tc>
        <w:tc>
          <w:tcPr>
            <w:tcW w:type="dxa" w:w="103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15.4</w:t>
            </w:r>
          </w:p>
        </w:tc>
        <w:tc>
          <w:tcPr>
            <w:tcW w:type="dxa" w:w="103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13.2</w:t>
            </w:r>
          </w:p>
        </w:tc>
        <w:tc>
          <w:tcPr>
            <w:tcW w:type="dxa" w:w="103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10.4</w:t>
            </w:r>
          </w:p>
        </w:tc>
        <w:tc>
          <w:tcPr>
            <w:tcW w:type="dxa" w:w="103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9.6</w:t>
            </w:r>
          </w:p>
        </w:tc>
        <w:tc>
          <w:tcPr>
            <w:tcW w:type="dxa" w:w="103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48.6</w:t>
            </w:r>
          </w:p>
        </w:tc>
        <w:tc>
          <w:tcPr>
            <w:tcW w:type="dxa" w:w="103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100%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3.2 预算编制原则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与精益转型计划对齐</w:t>
      </w:r>
      <w:r>
        <w:rPr>
          <w:rFonts w:ascii="SimSun" w:hAnsi="SimSun"/>
          <w:b w:val="0"/>
          <w:i w:val="0"/>
          <w:sz w:val="22"/>
        </w:rPr>
        <w:t>：预算分配优先保障当年精益重点推进领域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分阶段投入</w:t>
      </w:r>
      <w:r>
        <w:rPr>
          <w:rFonts w:ascii="SimSun" w:hAnsi="SimSun"/>
          <w:b w:val="0"/>
          <w:i w:val="0"/>
          <w:sz w:val="22"/>
        </w:rPr>
        <w:t>：模拟工位等基础设施在第一年集中投入，后续年度以维护为主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弹性预算</w:t>
      </w:r>
      <w:r>
        <w:rPr>
          <w:rFonts w:ascii="SimSun" w:hAnsi="SimSun"/>
          <w:b w:val="0"/>
          <w:i w:val="0"/>
          <w:sz w:val="22"/>
        </w:rPr>
        <w:t>：预留10%预备金应对临时培训需求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效益优先</w:t>
      </w:r>
      <w:r>
        <w:rPr>
          <w:rFonts w:ascii="SimSun" w:hAnsi="SimSun"/>
          <w:b w:val="0"/>
          <w:i w:val="0"/>
          <w:sz w:val="22"/>
        </w:rPr>
        <w:t>：优先保障ROI高的培训项目（如工具专项培训）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内部优先</w:t>
      </w:r>
      <w:r>
        <w:rPr>
          <w:rFonts w:ascii="SimSun" w:hAnsi="SimSun"/>
          <w:b w:val="0"/>
          <w:i w:val="0"/>
          <w:sz w:val="22"/>
        </w:rPr>
        <w:t>：培养内部讲师队伍，逐年降低外部培训依赖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4. 投资回报分析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4.1 培训成本构成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成本类别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第一年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第二年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第三年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三年合计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直接成本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48.6万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35.0万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30.0万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113.6万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间接成本（员工参训期间的工时成本）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15.0万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12.0万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10.0万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37.0万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总成本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63.6万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47.0万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40.0万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150.6万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4.2 预期收益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收益类别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计算方式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第一年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第二年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第三年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生产效率提升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产能提升带来的收益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30万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60万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100万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质量成本降低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不良率下降带来的节省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20万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40万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60万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换模时间缩短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SMED带来的产能释放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10万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20万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30万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库存降低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库存周转率提升释放的资金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5万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15万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25万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员工流失减少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培训投入降低流失率带来的节省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5万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10万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15万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总收益</w:t>
            </w:r>
          </w:p>
        </w:tc>
        <w:tc>
          <w:tcPr>
            <w:tcW w:type="dxa" w:w="1660"/>
            <w:shd w:fill="EDF2F9" w:val="clear"/>
          </w:tcPr>
          <w:p>
            <w:r/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70万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145万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230万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4.3 投资回报率（ROI）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指标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第一年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第二年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第三年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三年累计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培训总投入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63.6万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47.0万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40.0万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150.6万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预期总收益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70万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145万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230万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445万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净收益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6.4万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98万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190万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294.4万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ROI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10%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209%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475%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195%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4.4 非量化收益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除财务指标外，精益培训还将带来以下难以量化的长期收益：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组织能力提升</w:t>
      </w:r>
      <w:r>
        <w:rPr>
          <w:rFonts w:ascii="SimSun" w:hAnsi="SimSun"/>
          <w:b w:val="0"/>
          <w:i w:val="0"/>
          <w:sz w:val="22"/>
        </w:rPr>
        <w:t>：建立了一支具备精益思维的团队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文化转变</w:t>
      </w:r>
      <w:r>
        <w:rPr>
          <w:rFonts w:ascii="SimSun" w:hAnsi="SimSun"/>
          <w:b w:val="0"/>
          <w:i w:val="0"/>
          <w:sz w:val="22"/>
        </w:rPr>
        <w:t>：从被动执行到主动改善的文化转型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客户满意度</w:t>
      </w:r>
      <w:r>
        <w:rPr>
          <w:rFonts w:ascii="SimSun" w:hAnsi="SimSun"/>
          <w:b w:val="0"/>
          <w:i w:val="0"/>
          <w:sz w:val="22"/>
        </w:rPr>
        <w:t>：质量和交付表现提升带来的客户认可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人才吸引力</w:t>
      </w:r>
      <w:r>
        <w:rPr>
          <w:rFonts w:ascii="SimSun" w:hAnsi="SimSun"/>
          <w:b w:val="0"/>
          <w:i w:val="0"/>
          <w:sz w:val="22"/>
        </w:rPr>
        <w:t>：学习型组织的建设有助于吸引优秀人才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风险降低</w:t>
      </w:r>
      <w:r>
        <w:rPr>
          <w:rFonts w:ascii="SimSun" w:hAnsi="SimSun"/>
          <w:b w:val="0"/>
          <w:i w:val="0"/>
          <w:sz w:val="22"/>
        </w:rPr>
        <w:t>：标准化作业和防错技术降低了质量和安全风险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imHei" w:hAnsi="SimHei" w:eastAsia="SimHei"/>
      <w:b/>
      <w:bCs/>
      <w:i/>
      <w:iCs/>
      <w:color w:val="1F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培训预算与资源规划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