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精益转型总体规划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本文档为紧固件制造企业精益转型的顶层规划，明确转型愿景、目标、范围、周期、组织保障和资源需求。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转型愿景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成为紧固件行业精益制造标杆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通过系统性的精益转型，将企业打造为紧固件行业的精益制造典范——在质量、效率、交付和成本方面达到行业领先水平，建立持续改善的文化体系，为客户提供卓越的产品和服务。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愿景内涵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产品卓越</w:t>
      </w:r>
      <w:r>
        <w:rPr>
          <w:rFonts w:ascii="SimSun" w:hAnsi="SimSun"/>
          <w:b w:val="0"/>
          <w:i w:val="0"/>
          <w:sz w:val="22"/>
        </w:rPr>
        <w:t>：零缺陷为目标，建立全面质量管理体系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流程精益</w:t>
      </w:r>
      <w:r>
        <w:rPr>
          <w:rFonts w:ascii="SimSun" w:hAnsi="SimSun"/>
          <w:b w:val="0"/>
          <w:i w:val="0"/>
          <w:sz w:val="22"/>
        </w:rPr>
        <w:t>：消除一切浪费，创造最大客户价值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组织学习</w:t>
      </w:r>
      <w:r>
        <w:rPr>
          <w:rFonts w:ascii="SimSun" w:hAnsi="SimSun"/>
          <w:b w:val="0"/>
          <w:i w:val="0"/>
          <w:sz w:val="22"/>
        </w:rPr>
        <w:t>：全员参与持续改善，形成学习型组织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行业引领</w:t>
      </w:r>
      <w:r>
        <w:rPr>
          <w:rFonts w:ascii="SimSun" w:hAnsi="SimSun"/>
          <w:b w:val="0"/>
          <w:i w:val="0"/>
          <w:sz w:val="22"/>
        </w:rPr>
        <w:t>：成为紧固件行业精益实践的标杆和参照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转型目标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2.1 核心指标目标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基线值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12个月目标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24个月目标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36个月目标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OEE（设备综合效率）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72%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78%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82%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85%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2.5%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1.8%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1.3%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1.0%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交付周期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15天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12天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9天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7天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精益成熟度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L3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L3.5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L4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2.2 支撑指标目标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基线值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36个月目标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在制品库存周转天数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12天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5天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45分钟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15分钟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5S审核平均分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2.5分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4.2分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改善提案参与率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培训人均课时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8小时/年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40小时/年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设备故障率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2%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客户投诉次数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12次/月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3次/月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班组标准作业覆盖率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95%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2.3 成熟度等级定义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等级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特征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L1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初始级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精益活动零散，无系统推进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L2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觉醒级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有初步认识，部分工具试点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L3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实践级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系统部署工具，初步形成机制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L4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整合级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精益融入文化，自驱动改善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L5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卓越级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行业标杆，持续引领创新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转型范围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3.1 工序范围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本次转型覆盖全厂 5 个核心工序：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冷镦 → 搓丝 → 热处理 → 表面处理 → 包装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工序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主要设备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产品特点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改善重点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多工位冷镦机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成型精度、产能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OEE、换模时间、质量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搓丝机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螺纹精度、表面质量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标准作业、缺陷率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热处理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网带炉/箱式炉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硬度、金相组织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温度控制、能耗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表面处理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电镀线/涂覆线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镀层质量、环保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换线时间、废液处理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自动包装线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标识、数量、防护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效率、差错率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3.2 职能范围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职能部门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参与内容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生产部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核心实施区域，标准作业、5S、TPM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质量部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质量改善、防错、检验标准化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设备部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TPM、SMED、设备维护体系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计划部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拉动系统、平准化排产、库存管理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采购部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供应商管理、来料质量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销售部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客户需求管理、交付改善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人力资源部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培训体系、绩效考核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财务部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成本核算、改善效益评估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3.3 产品范围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初期聚焦核心产品线：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标准紧固件</w:t>
      </w:r>
      <w:r>
        <w:rPr>
          <w:rFonts w:ascii="SimSun" w:hAnsi="SimSun"/>
          <w:b w:val="0"/>
          <w:i w:val="0"/>
          <w:sz w:val="22"/>
        </w:rPr>
        <w:t>：六角螺栓、六角螺母、垫圈系列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特种紧固件</w:t>
      </w:r>
      <w:r>
        <w:rPr>
          <w:rFonts w:ascii="SimSun" w:hAnsi="SimSun"/>
          <w:b w:val="0"/>
          <w:i w:val="0"/>
          <w:sz w:val="22"/>
        </w:rPr>
        <w:t>：高强度螺栓、耐腐蚀紧固件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转型周期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 xml:space="preserve">总周期 </w:t>
      </w:r>
      <w:r>
        <w:rPr>
          <w:rFonts w:ascii="SimSun" w:hAnsi="SimSun"/>
          <w:b/>
          <w:i w:val="0"/>
          <w:sz w:val="22"/>
        </w:rPr>
        <w:t>36个月</w:t>
      </w:r>
      <w:r>
        <w:rPr>
          <w:rFonts w:ascii="SimSun" w:hAnsi="SimSun"/>
          <w:b w:val="0"/>
          <w:i w:val="0"/>
          <w:sz w:val="22"/>
        </w:rPr>
        <w:t>，分为5个阶段：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>阶段1：评估与规划    ████████                    第1-3月</w:t>
        <w:br/>
        <w:t>阶段2：试点与基础    ████████████████            第3-9月</w:t>
        <w:br/>
        <w:t>阶段3：扩展与部署    ████████████████████████    第9-18月</w:t>
        <w:br/>
        <w:t>阶段4：整合与文化    ████████████████████████████████████  第18-36月</w:t>
        <w:br/>
        <w:t>阶段5：卓越与持续    ████████████████████████████████→     第36月+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阶段节奏说明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每个阶段设置里程碑检查点，达标后方可进入下一阶段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阶段时间可根据实际进展灵活调整，但阶段顺序不宜跳跃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阶段4和阶段5部分活动可并行推进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36个月后进入持续改善阶段，不再有明确结束时间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组织保障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5.1 精益推进委员会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人员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主任委员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总经理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战略决策、资源调配、重大问题裁决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副主任委员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生产副总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日常督导、跨部门协调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委员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各部门经理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部门推进、资源支持、问题升级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运作机制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每月召开一次全体会议，审议进展和重大决策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每周进行一次进度检查（副主任委员主持）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重大问题48小时内升级至主任委员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5.2 精益推进办公室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人数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精益总监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全面负责精益推进工作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精益顾问/推进员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3-5人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工具培训、现场辅导、项目管理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数据分析员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指标统计、效果评估、报告编制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核心职能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制定和更新精益转型计划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组织培训和Kaizen活动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跟踪指标和项目进度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协调跨部门改善活动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建立和维护精益知识库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5.3 各部门精益联络员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每个部门指定 1-2 名精益联络员：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负责本部门精益活动的日常推进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参与精益推进办公室的周例会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组织本部门的培训和改善活动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收集和反馈改善提案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6. 资源需求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6.1 人力资源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阶段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新增人力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投入工时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阶段1（评估规划）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精益总监1人、推进员2人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全职投入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阶段2（试点基础）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推进员增加至3人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全职+各部门兼职联络员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阶段3（扩展部署）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推进员增加至5人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全职+各部门兼职联络员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阶段4（整合文化）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保持现有团队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逐步转为各部门自驱动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6.2 资金预算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项目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预算范围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外部咨询费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80-150万元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前18个月聘请外部精益顾问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培训费用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30-60万元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内外部培训、外出研修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设备改造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50-100万元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SMED快速换模装置、防错装置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可视化物料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15-30万元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看板、管理板、标识标牌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信息化支持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30-50万元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MES模块升级、数据采集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Kaizen活动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20-40万元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活动组织、改善物资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合计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225-430万元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36个月总投入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6.3 培训体系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培训对象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课时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方式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高层管理者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精益哲学、战略部署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16小时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外部研修+内部研讨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中层管理者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价值流管理、A3思维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32小时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外部培训+实战辅导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班组长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标准作业、5S、可视化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40小时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内部培训+现场实操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一线员工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精益基础、改善提案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16小时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内部培训+岗前实操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精益推进团队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全部工具和方法论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120小时+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外部认证+持续学习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6.4 外部支持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精益咨询机构</w:t>
      </w:r>
      <w:r>
        <w:rPr>
          <w:rFonts w:ascii="SimSun" w:hAnsi="SimSun"/>
          <w:b w:val="0"/>
          <w:i w:val="0"/>
          <w:sz w:val="22"/>
        </w:rPr>
        <w:t>：前18个月提供专业指导和辅导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行业协会</w:t>
      </w:r>
      <w:r>
        <w:rPr>
          <w:rFonts w:ascii="SimSun" w:hAnsi="SimSun"/>
          <w:b w:val="0"/>
          <w:i w:val="0"/>
          <w:sz w:val="22"/>
        </w:rPr>
        <w:t>：参与行业精益交流和对标活动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供应商</w:t>
      </w:r>
      <w:r>
        <w:rPr>
          <w:rFonts w:ascii="SimSun" w:hAnsi="SimSun"/>
          <w:b w:val="0"/>
          <w:i w:val="0"/>
          <w:sz w:val="22"/>
        </w:rPr>
        <w:t>：选择愿意配合精益改善的供应商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客户</w:t>
      </w:r>
      <w:r>
        <w:rPr>
          <w:rFonts w:ascii="SimSun" w:hAnsi="SimSun"/>
          <w:b w:val="0"/>
          <w:i w:val="0"/>
          <w:sz w:val="22"/>
        </w:rPr>
        <w:t>：与重要客户建立精益协同关系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7. 关键里程碑和检查点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里程碑时间表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里程碑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检查标准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第3月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转型蓝图发布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评估报告完成、目标共识达成、试点方案确定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第6月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试点区域初见成效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5S达标、标准作业建立、首次Kaizen完成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第9月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试点成果验收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OEE提升≥5%、不良率降低≥20%、成果可复制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第12月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全工序覆盖启动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至少3个工序导入精益工具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第18月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拉动系统运行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看板系统上线、平准化排产试行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第24月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文化建设中期评审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改善提案参与率≥40%、精益融入绩效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第36月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精益成熟度L4评审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全部核心指标达标、自驱动改善机制运行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检查点评审机制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每个检查点进行以下评审：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指标达成度</w:t>
      </w:r>
      <w:r>
        <w:rPr>
          <w:rFonts w:ascii="SimSun" w:hAnsi="SimSun"/>
          <w:b w:val="0"/>
          <w:i w:val="0"/>
          <w:sz w:val="22"/>
        </w:rPr>
        <w:t>：对照目标检查各项KPI完成情况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项目进度</w:t>
      </w:r>
      <w:r>
        <w:rPr>
          <w:rFonts w:ascii="SimSun" w:hAnsi="SimSun"/>
          <w:b w:val="0"/>
          <w:i w:val="0"/>
          <w:sz w:val="22"/>
        </w:rPr>
        <w:t>：检查各改善项目是否按计划推进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能力建设</w:t>
      </w:r>
      <w:r>
        <w:rPr>
          <w:rFonts w:ascii="SimSun" w:hAnsi="SimSun"/>
          <w:b w:val="0"/>
          <w:i w:val="0"/>
          <w:sz w:val="22"/>
        </w:rPr>
        <w:t>：评估团队精益能力提升情况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文化渗透</w:t>
      </w:r>
      <w:r>
        <w:rPr>
          <w:rFonts w:ascii="SimSun" w:hAnsi="SimSun"/>
          <w:b w:val="0"/>
          <w:i w:val="0"/>
          <w:sz w:val="22"/>
        </w:rPr>
        <w:t>：调查员工精益意识和参与度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风险评估</w:t>
      </w:r>
      <w:r>
        <w:rPr>
          <w:rFonts w:ascii="SimSun" w:hAnsi="SimSun"/>
          <w:b w:val="0"/>
          <w:i w:val="0"/>
          <w:sz w:val="22"/>
        </w:rPr>
        <w:t>：识别新风险，更新应对策略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资源调整</w:t>
      </w:r>
      <w:r>
        <w:rPr>
          <w:rFonts w:ascii="SimSun" w:hAnsi="SimSun"/>
          <w:b w:val="0"/>
          <w:i w:val="0"/>
          <w:sz w:val="22"/>
        </w:rPr>
        <w:t>：根据进展调整下一阶段资源投入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8. 风险识别与应对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8.1 风险清单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风险描述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可能性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影响度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风险等级</w:t>
            </w:r>
          </w:p>
        </w:tc>
        <w:tc>
          <w:tcPr>
            <w:tcW w:type="dxa" w:w="1383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R1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高层承诺不足或中途退出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极高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定期汇报ROI、邀请参与Gemba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R2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精益人才流失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培养梯队、建立知识库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R3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业务忙季冲击精益推进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将精益融入日常运营而非额外项目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R4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员工抵触变革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充分沟通、激励机制、从身边改善入手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R5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外部咨询效果不佳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明确KPI、分阶段付费、内部能力培养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R6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设备改造投资超预算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分阶段投资、优先低成本改善</w:t>
            </w:r>
          </w:p>
        </w:tc>
      </w:tr>
      <w:tr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R7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精益活动流于形式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1383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定期审计、结果导向、与绩效挂钩</w:t>
            </w:r>
          </w:p>
        </w:tc>
      </w:tr>
      <w:tr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R8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跨部门协作不畅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1383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委员会协调、明确接口、联合改善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8.2 风险监控机制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月度风险评审</w:t>
      </w:r>
      <w:r>
        <w:rPr>
          <w:rFonts w:ascii="SimSun" w:hAnsi="SimSun"/>
          <w:b w:val="0"/>
          <w:i w:val="0"/>
          <w:sz w:val="22"/>
        </w:rPr>
        <w:t>：精益推进办公室每月更新风险清单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季度高层汇报</w:t>
      </w:r>
      <w:r>
        <w:rPr>
          <w:rFonts w:ascii="SimSun" w:hAnsi="SimSun"/>
          <w:b w:val="0"/>
          <w:i w:val="0"/>
          <w:sz w:val="22"/>
        </w:rPr>
        <w:t>：向精益推进委员会汇报重大风险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即时升级机制</w:t>
      </w:r>
      <w:r>
        <w:rPr>
          <w:rFonts w:ascii="SimSun" w:hAnsi="SimSun"/>
          <w:b w:val="0"/>
          <w:i w:val="0"/>
          <w:sz w:val="22"/>
        </w:rPr>
        <w:t>：发现高风险事件24小时内升级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风险台账管理</w:t>
      </w:r>
      <w:r>
        <w:rPr>
          <w:rFonts w:ascii="SimSun" w:hAnsi="SimSun"/>
          <w:b w:val="0"/>
          <w:i w:val="0"/>
          <w:sz w:val="22"/>
        </w:rPr>
        <w:t>：记录所有风险及应对措施的执行情况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9. 预期效益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9.1 直接效益（36个月）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效益项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估算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OEE提升带来的产能增加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年增产值约500-800万元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不良率降低带来的质量成本节约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年节约100-200万元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交付周期缩短带来的库存降低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库存资金占用减少200-300万元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换模时间减少带来的柔性提升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年增产能利用约3-5%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能耗降低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年节约50-80万元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年化总效益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约850-1380万元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9.2 间接效益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客户满意度提升，订单稳定性增强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员工技能和士气提升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企业形象和行业地位提升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管理体系规范化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为智能制造打下坚实基础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附录：相关文档索引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文档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位置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五阶段实施路线图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02-五阶段实施路线图.md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分阶段详细路径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三种实施路径对比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03-三种实施路径对比.md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实施策略选择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关键成功因素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04-关键成功因素.md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成功要素详解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常见陷阱与规避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05-常见陷阱与规避.md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风险规避指南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各阶段详细计划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../02-详细计划/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五阶段执行计划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实施工具模板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../03-实施工具/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标准化工具模板</w:t>
            </w:r>
          </w:p>
        </w:tc>
      </w:tr>
    </w:tbl>
    <w:p/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精益转型总体规划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