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风险登记册模板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_[填写项目名称]_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文档编号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_[填写编号]_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更新日期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_[填写日期]_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责任人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_[填写姓名]_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风险登记表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风险编号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风险描述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风险类别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可能性（1-5）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影响（1-5）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应对措施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75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更新日期</w:t>
            </w:r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R01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_[描述]_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人员/技术/组织/外部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红/黄/绿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规避/转移/减轻/接受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活跃/监控中/已关闭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R02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_[描述]_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_[类别]_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_[等级]_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_[状态]_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R03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_[描述]_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_[类别]_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_[等级]_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_[状态]_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R04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_[描述]_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_[类别]_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_[等级]_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_[状态]_</w:t>
            </w:r>
          </w:p>
        </w:tc>
        <w:tc>
          <w:tcPr>
            <w:tcW w:type="dxa" w:w="75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  <w:tr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R05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_[描述]_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_[类别]_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_[1-5]_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_[等级]_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_[策略]_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_[措施]_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_[姓名]_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_[状态]_</w:t>
            </w:r>
          </w:p>
        </w:tc>
        <w:tc>
          <w:tcPr>
            <w:tcW w:type="dxa" w:w="75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_[日期]_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风险等级判定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风险分值 = 可能性 × 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风险分值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颜色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处理要求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15-25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🔴 红区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立即处理，每日跟踪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8-14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🟠 橙区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优先处理，每周跟踪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4-7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🟡 黄区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重点监控，双周跟踪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 绿区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常规管理，月度跟踪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应对策略说明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消除风险源或改变计划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可能性高、影响大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调整项目范围，避开高风险区域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转移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将风险影响转嫁给第三方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有保险或外包选项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购买设备保险，外包高风险工序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降低可能性或影响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大多数风险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加强培训，增加检查频次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接受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承认风险存在，不做额外处理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低影响或处理成本过高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记录并监控汇率波动风险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精益转型常见风险清单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风险描述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建议应对策略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高层领导支持不足或支持减弱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规避——定期向高层汇报进展和价值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一线员工抵触变革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减轻——充分沟通、参与式改善、激励机制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精益骨干流失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减轻——人才梯队培养、知识管理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短期产能波动影响交付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技术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减轻——分步实施、过渡期产能规划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改善成果无法持续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减轻——标准化固化、定期审核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模具/设备改造超预算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技术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减轻——详细评估、分阶段投入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供应链不配合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转移——协商共担收益、长期合作协议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质量波动导致客户投诉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技术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减轻——防错措施、质量门控制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培训效果不佳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减轻——实战培训、考核机制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外部顾问能力不足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规避——严格筛选、试用期评估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风险状态说明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活跃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已识别但尚未发生，需要持续监控和应对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已发生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风险事件已触发，正在执行应对措施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已制定应对措施，持续跟踪观察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已关闭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风险已消除或不再适用，归档备查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风险更新流程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识别 → 评估 → 应对 → 监控 → 更新 → 关闭/重新评估</w:t>
        <w:br/>
        <w:t xml:space="preserve"> ↑                                    │</w:t>
        <w:br/>
        <w:t xml:space="preserve"> └────────────────────────────────────┘</w:t>
        <w:br/>
        <w:t xml:space="preserve">           （循环直至项目结束）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更新触发条件：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每月定期评审所有活跃风险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项目阶段变更时重新评估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发生重大变更时即时更新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风险事件发生后立即更新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新风险识别时随时添加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：鼓励所有团队成员报告潜在风险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及时更新</w:t>
      </w:r>
      <w:r>
        <w:rPr>
          <w:rFonts w:ascii="SimSun" w:hAnsi="SimSun"/>
          <w:b w:val="0"/>
          <w:i w:val="0"/>
          <w:sz w:val="22"/>
        </w:rPr>
        <w:t>：发现新风险或状态变化时立即更新登记册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量化评估</w:t>
      </w:r>
      <w:r>
        <w:rPr>
          <w:rFonts w:ascii="SimSun" w:hAnsi="SimSun"/>
          <w:b w:val="0"/>
          <w:i w:val="0"/>
          <w:sz w:val="22"/>
        </w:rPr>
        <w:t>：使用1-5分制进行可能性和影响评估，确保评估标准一致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责任到人</w:t>
      </w:r>
      <w:r>
        <w:rPr>
          <w:rFonts w:ascii="SimSun" w:hAnsi="SimSun"/>
          <w:b w:val="0"/>
          <w:i w:val="0"/>
          <w:sz w:val="22"/>
        </w:rPr>
        <w:t>：每个风险必须指定明确的责任人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定期评审</w:t>
      </w:r>
      <w:r>
        <w:rPr>
          <w:rFonts w:ascii="SimSun" w:hAnsi="SimSun"/>
          <w:b w:val="0"/>
          <w:i w:val="0"/>
          <w:sz w:val="22"/>
        </w:rPr>
        <w:t>：至少每月在项目例会上评审风险登记册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历史存档</w:t>
      </w:r>
      <w:r>
        <w:rPr>
          <w:rFonts w:ascii="SimSun" w:hAnsi="SimSun"/>
          <w:b w:val="0"/>
          <w:i w:val="0"/>
          <w:sz w:val="22"/>
        </w:rPr>
        <w:t>：已关闭的风险记录应保留，作为组织知识资产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风险登记册模板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