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风险矩阵模板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文档编号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_[填写编号]_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更新日期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风险矩阵（5×5）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 xml:space="preserve">              影响程度</w:t>
        <w:br/>
        <w:t xml:space="preserve">         1      2      3      4      5</w:t>
        <w:br/>
        <w:t xml:space="preserve">      ┌──────┬──────┬──────┬──────┬──────┐</w:t>
        <w:br/>
        <w:t xml:space="preserve">  5   │ 🟡5  │ 🟠10 │ 🔴15 │ 🔴20 │ 🔴25 │</w:t>
        <w:br/>
        <w:t>可    ├──────┼──────┼──────┼──────┼──────┤</w:t>
        <w:br/>
        <w:t>能  4 │ 🟡4  │ 🟠8  │ 🟠12 │ 🔴16 │ 🔴20 │</w:t>
        <w:br/>
        <w:t>性    ├──────┼──────┼──────┼──────┼──────┤</w:t>
        <w:br/>
        <w:t xml:space="preserve">    3 │ 🟢3  │ 🟡6  │ 🟡9  │ 🟠12 │ 🔴15 │</w:t>
        <w:br/>
        <w:t xml:space="preserve">      ├──────┼──────┼──────┼──────┼──────┤</w:t>
        <w:br/>
        <w:t xml:space="preserve">    2 │ 🟢2  │ 🟢4  │ 🟡6  │ 🟡8  │ 🟠10 │</w:t>
        <w:br/>
        <w:t xml:space="preserve">      ├──────┼──────┼──────┼──────┼──────┤</w:t>
        <w:br/>
        <w:t xml:space="preserve">    1 │ 🟢1  │ 🟢2  │ 🟢3  │ 🟡4  │ 🟡5  │</w:t>
        <w:br/>
        <w:t xml:space="preserve">      └──────┴──────┴──────┴──────┴──────┘</w:t>
        <w:br/>
        <w:br/>
        <w:t xml:space="preserve">      🟢 绿区（1-3分）：低风险</w:t>
        <w:br/>
        <w:t xml:space="preserve">      🟡 黄区（4-9分）：中风险</w:t>
        <w:br/>
        <w:t xml:space="preserve">      🟠 橙区（10-16分）：高风险</w:t>
        <w:br/>
        <w:t xml:space="preserve">      🔴 红区（15-25分）：极高风险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风险等级判定标准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可能性评分标准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描述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概率范围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极少发生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10%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偶尔发生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 - 30%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有时发生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 - 50%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经常发生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50% - 70%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几乎肯定发生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70%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2.2 影响评分标准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评分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等级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进度影响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成本影响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质量影响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范围影响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极低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延迟 &lt; 1天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 &lt; 1%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几乎无影响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范围不变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延迟 1-5天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 1-5%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轻微偏差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范围微调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延迟 5-15天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 5-10%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需要返工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范围部分调整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延迟 15-30天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 10-20%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严重影响交付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范围重大调整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延迟 &gt; 30天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 &gt; 20%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项目目标无法达成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项目可能终止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各区域处理要求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🔴 红区（15-25分）—— 极高风险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处理要求</w:t>
      </w:r>
      <w:r>
        <w:rPr>
          <w:rFonts w:ascii="SimSun" w:hAnsi="SimSun"/>
          <w:b w:val="0"/>
          <w:i w:val="0"/>
          <w:sz w:val="22"/>
        </w:rPr>
        <w:t>：立即处理，不可接受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响应时限</w:t>
      </w:r>
      <w:r>
        <w:rPr>
          <w:rFonts w:ascii="SimSun" w:hAnsi="SimSun"/>
          <w:b w:val="0"/>
          <w:i w:val="0"/>
          <w:sz w:val="22"/>
        </w:rPr>
        <w:t>：24小时内制定应对方案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跟踪频率</w:t>
      </w:r>
      <w:r>
        <w:rPr>
          <w:rFonts w:ascii="SimSun" w:hAnsi="SimSun"/>
          <w:b w:val="0"/>
          <w:i w:val="0"/>
          <w:sz w:val="22"/>
        </w:rPr>
        <w:t>：每日跟踪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审批层级</w:t>
      </w:r>
      <w:r>
        <w:rPr>
          <w:rFonts w:ascii="SimSun" w:hAnsi="SimSun"/>
          <w:b w:val="0"/>
          <w:i w:val="0"/>
          <w:sz w:val="22"/>
        </w:rPr>
        <w:t>：推进委员会审批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典型应对</w:t>
      </w:r>
      <w:r>
        <w:rPr>
          <w:rFonts w:ascii="SimSun" w:hAnsi="SimSun"/>
          <w:b w:val="0"/>
          <w:i w:val="0"/>
          <w:sz w:val="22"/>
        </w:rPr>
        <w:t>：规避或减轻至黄区以下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🟠 橙区（10-14分）—— 高风险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处理要求</w:t>
      </w:r>
      <w:r>
        <w:rPr>
          <w:rFonts w:ascii="SimSun" w:hAnsi="SimSun"/>
          <w:b w:val="0"/>
          <w:i w:val="0"/>
          <w:sz w:val="22"/>
        </w:rPr>
        <w:t>：优先处理，重点关注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响应时限</w:t>
      </w:r>
      <w:r>
        <w:rPr>
          <w:rFonts w:ascii="SimSun" w:hAnsi="SimSun"/>
          <w:b w:val="0"/>
          <w:i w:val="0"/>
          <w:sz w:val="22"/>
        </w:rPr>
        <w:t>：72小时内制定应对方案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跟踪频率</w:t>
      </w:r>
      <w:r>
        <w:rPr>
          <w:rFonts w:ascii="SimSun" w:hAnsi="SimSun"/>
          <w:b w:val="0"/>
          <w:i w:val="0"/>
          <w:sz w:val="22"/>
        </w:rPr>
        <w:t>：每周跟踪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审批层级</w:t>
      </w:r>
      <w:r>
        <w:rPr>
          <w:rFonts w:ascii="SimSun" w:hAnsi="SimSun"/>
          <w:b w:val="0"/>
          <w:i w:val="0"/>
          <w:sz w:val="22"/>
        </w:rPr>
        <w:t>：项目经理审批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典型应对</w:t>
      </w:r>
      <w:r>
        <w:rPr>
          <w:rFonts w:ascii="SimSun" w:hAnsi="SimSun"/>
          <w:b w:val="0"/>
          <w:i w:val="0"/>
          <w:sz w:val="22"/>
        </w:rPr>
        <w:t>：减轻或转移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🟡 黄区（4-9分）—— 中风险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处理要求</w:t>
      </w:r>
      <w:r>
        <w:rPr>
          <w:rFonts w:ascii="SimSun" w:hAnsi="SimSun"/>
          <w:b w:val="0"/>
          <w:i w:val="0"/>
          <w:sz w:val="22"/>
        </w:rPr>
        <w:t>：重点监控，积极管理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响应时限</w:t>
      </w:r>
      <w:r>
        <w:rPr>
          <w:rFonts w:ascii="SimSun" w:hAnsi="SimSun"/>
          <w:b w:val="0"/>
          <w:i w:val="0"/>
          <w:sz w:val="22"/>
        </w:rPr>
        <w:t>：1周内制定应对方案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跟踪频率</w:t>
      </w:r>
      <w:r>
        <w:rPr>
          <w:rFonts w:ascii="SimSun" w:hAnsi="SimSun"/>
          <w:b w:val="0"/>
          <w:i w:val="0"/>
          <w:sz w:val="22"/>
        </w:rPr>
        <w:t>：双周跟踪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审批层级</w:t>
      </w:r>
      <w:r>
        <w:rPr>
          <w:rFonts w:ascii="SimSun" w:hAnsi="SimSun"/>
          <w:b w:val="0"/>
          <w:i w:val="0"/>
          <w:sz w:val="22"/>
        </w:rPr>
        <w:t>：项目团队处理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典型应对</w:t>
      </w:r>
      <w:r>
        <w:rPr>
          <w:rFonts w:ascii="SimSun" w:hAnsi="SimSun"/>
          <w:b w:val="0"/>
          <w:i w:val="0"/>
          <w:sz w:val="22"/>
        </w:rPr>
        <w:t>：减轻或接受（需审批）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🟢 绿区（1-3分）—— 低风险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处理要求</w:t>
      </w:r>
      <w:r>
        <w:rPr>
          <w:rFonts w:ascii="SimSun" w:hAnsi="SimSun"/>
          <w:b w:val="0"/>
          <w:i w:val="0"/>
          <w:sz w:val="22"/>
        </w:rPr>
        <w:t>：常规管理，持续监控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响应时限</w:t>
      </w:r>
      <w:r>
        <w:rPr>
          <w:rFonts w:ascii="SimSun" w:hAnsi="SimSun"/>
          <w:b w:val="0"/>
          <w:i w:val="0"/>
          <w:sz w:val="22"/>
        </w:rPr>
        <w:t>：按计划处理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跟踪频率</w:t>
      </w:r>
      <w:r>
        <w:rPr>
          <w:rFonts w:ascii="SimSun" w:hAnsi="SimSun"/>
          <w:b w:val="0"/>
          <w:i w:val="0"/>
          <w:sz w:val="22"/>
        </w:rPr>
        <w:t>：月度跟踪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审批层级</w:t>
      </w:r>
      <w:r>
        <w:rPr>
          <w:rFonts w:ascii="SimSun" w:hAnsi="SimSun"/>
          <w:b w:val="0"/>
          <w:i w:val="0"/>
          <w:sz w:val="22"/>
        </w:rPr>
        <w:t>：责任人自行处理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典型应对</w:t>
      </w:r>
      <w:r>
        <w:rPr>
          <w:rFonts w:ascii="SimSun" w:hAnsi="SimSun"/>
          <w:b w:val="0"/>
          <w:i w:val="0"/>
          <w:sz w:val="22"/>
        </w:rPr>
        <w:t>：接受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使用说明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评估标准统一</w:t>
      </w:r>
      <w:r>
        <w:rPr>
          <w:rFonts w:ascii="SimSun" w:hAnsi="SimSun"/>
          <w:b w:val="0"/>
          <w:i w:val="0"/>
          <w:sz w:val="22"/>
        </w:rPr>
        <w:t>：所有评估人员应使用相同的标准，评估前进行校准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定期重评</w:t>
      </w:r>
      <w:r>
        <w:rPr>
          <w:rFonts w:ascii="SimSun" w:hAnsi="SimSun"/>
          <w:b w:val="0"/>
          <w:i w:val="0"/>
          <w:sz w:val="22"/>
        </w:rPr>
        <w:t>：风险矩阵至少每月更新一次，反映最新状态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交叉验证</w:t>
      </w:r>
      <w:r>
        <w:rPr>
          <w:rFonts w:ascii="SimSun" w:hAnsi="SimSun"/>
          <w:b w:val="0"/>
          <w:i w:val="0"/>
          <w:sz w:val="22"/>
        </w:rPr>
        <w:t>：建议由2-3人共同评估，减少主观偏差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动态调整</w:t>
      </w:r>
      <w:r>
        <w:rPr>
          <w:rFonts w:ascii="SimSun" w:hAnsi="SimSun"/>
          <w:b w:val="0"/>
          <w:i w:val="0"/>
          <w:sz w:val="22"/>
        </w:rPr>
        <w:t>：随着项目进展，风险的可能性和影响会变化，需及时调整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关注交叉点</w:t>
      </w:r>
      <w:r>
        <w:rPr>
          <w:rFonts w:ascii="SimSun" w:hAnsi="SimSun"/>
          <w:b w:val="0"/>
          <w:i w:val="0"/>
          <w:sz w:val="22"/>
        </w:rPr>
        <w:t>：处于区域边界的风险应从严处理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与登记册联动</w:t>
      </w:r>
      <w:r>
        <w:rPr>
          <w:rFonts w:ascii="SimSun" w:hAnsi="SimSun"/>
          <w:b w:val="0"/>
          <w:i w:val="0"/>
          <w:sz w:val="22"/>
        </w:rPr>
        <w:t>：风险矩阵评估结果应同步更新到风险登记册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可视化展示</w:t>
      </w:r>
      <w:r>
        <w:rPr>
          <w:rFonts w:ascii="SimSun" w:hAnsi="SimSun"/>
          <w:b w:val="0"/>
          <w:i w:val="0"/>
          <w:sz w:val="22"/>
        </w:rPr>
        <w:t>：建议将风险矩阵打印张贴在项目办公室，便于全员了解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历史记录</w:t>
      </w:r>
      <w:r>
        <w:rPr>
          <w:rFonts w:ascii="SimSun" w:hAnsi="SimSun"/>
          <w:b w:val="0"/>
          <w:i w:val="0"/>
          <w:sz w:val="22"/>
        </w:rPr>
        <w:t>：保留每次评估的版本，便于追溯风险变化趋势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风险矩阵模板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