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风险应对计划模板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项目名称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_[填写项目名称]_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文档编号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_[填写编号]_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版本号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编制日期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_[填写日期]_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_[填写姓名]_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风险应对计划表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风险 R01：_[风险名称]_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风险描述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_[详细描述风险事件及其可能后果]_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风险类别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人员/技术/组织/外部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可能性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_[1-5分]_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影响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_[1-5分]_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风险等级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红/橙/黄/绿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风险责任人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_[姓名/职位]_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应对策略：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应对策略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规避/转移/减轻/接受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具体措施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 _[措施1]_</w:t>
            </w:r>
          </w:p>
        </w:tc>
      </w:tr>
      <w:tr>
        <w:tc>
          <w:tcPr>
            <w:tcW w:type="dxa" w:w="4150"/>
          </w:tcPr>
          <w:p>
            <w:r/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 _[措施2]_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 _[措施3]_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资源需求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_[人力、资金、设备等]_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时间计划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_[开始日期]_ 至 _[结束日期]_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预期效果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风险分值从_[当前值]_降低至_[目标值]_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触发条件与应急预案：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触发条件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_[什么条件下启动应急预案]_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应急预案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_[应急处理步骤]_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应急负责人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_[姓名/职位]_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应急资源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_[需要的应急资源]_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风险 R02：_[风险名称]_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风险描述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_[详细描述风险事件及其可能后果]_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风险类别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人员/技术/组织/外部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可能性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_[1-5分]_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影响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_[1-5分]_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风险等级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红/橙/黄/绿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风险责任人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_[姓名/职位]_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应对策略：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应对策略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规避/转移/减轻/接受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具体措施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 _[措施1]_</w:t>
            </w:r>
          </w:p>
        </w:tc>
      </w:tr>
      <w:tr>
        <w:tc>
          <w:tcPr>
            <w:tcW w:type="dxa" w:w="4150"/>
          </w:tcPr>
          <w:p>
            <w:r/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 _[措施2]_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 _[措施3]_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资源需求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_[人力、资金、设备等]_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时间计划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_[开始日期]_ 至 _[结束日期]_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预期效果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风险分值从_[当前值]_降低至_[目标值]_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触发条件与应急预案：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触发条件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_[什么条件下启动应急预案]_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应急预案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_[应急处理步骤]_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应急负责人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_[姓名/职位]_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应急资源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_[需要的应急资源]_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精益转型典型风险应对方案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高层领导支持减弱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应对策略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减轻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具体措施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 每月向高层展示改善成果和财务收益</w:t>
            </w:r>
          </w:p>
        </w:tc>
      </w:tr>
      <w:tr>
        <w:tc>
          <w:tcPr>
            <w:tcW w:type="dxa" w:w="4150"/>
          </w:tcPr>
          <w:p>
            <w:r/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 邀请高层参与Gemba Walk，亲眼看到改善效果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 将精益成果纳入高管绩效考核指标</w:t>
            </w:r>
          </w:p>
        </w:tc>
      </w:tr>
      <w:tr>
        <w:tc>
          <w:tcPr>
            <w:tcW w:type="dxa" w:w="4150"/>
          </w:tcPr>
          <w:p>
            <w:r/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 建立精益转型仪表板，实时展示关键指标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资源需求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项目经理2小时/周用于高层沟通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触发条件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连续2次月度评审未出席，或预算被削减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应急预案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启动专项汇报，准备一页纸项目总结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2.2 一线员工抵触变革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应对策略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减轻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具体措施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 充分沟通变革原因和愿景，消除信息不对称</w:t>
            </w:r>
          </w:p>
        </w:tc>
      </w:tr>
      <w:tr>
        <w:tc>
          <w:tcPr>
            <w:tcW w:type="dxa" w:w="4150"/>
          </w:tcPr>
          <w:p>
            <w:r/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 邀请一线员工参与改善方案设计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 建立改善提案制度，鼓励员工参与</w:t>
            </w:r>
          </w:p>
        </w:tc>
      </w:tr>
      <w:tr>
        <w:tc>
          <w:tcPr>
            <w:tcW w:type="dxa" w:w="4150"/>
          </w:tcPr>
          <w:p>
            <w:r/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 设立改善奖励基金，及时认可改善贡献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5. 从试点线选拔员工代表，发挥示范作用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资源需求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培训预算+改善奖励基金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触发条件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员工流失率上升，改善提案数量下降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应急预案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暂停推进，组织一对一沟通，了解真实顾虑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2.3 改善成果无法持续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应对策略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减轻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具体措施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 所有改善成果必须标准化，形成标准作业文件</w:t>
            </w:r>
          </w:p>
        </w:tc>
      </w:tr>
      <w:tr>
        <w:tc>
          <w:tcPr>
            <w:tcW w:type="dxa" w:w="4150"/>
          </w:tcPr>
          <w:p>
            <w:r/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 建立日常审核机制（分层审核体系）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 将改善指标纳入部门和班组长KPI</w:t>
            </w:r>
          </w:p>
        </w:tc>
      </w:tr>
      <w:tr>
        <w:tc>
          <w:tcPr>
            <w:tcW w:type="dxa" w:w="4150"/>
          </w:tcPr>
          <w:p>
            <w:r/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 定期回访检查，发现退化立即纠正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资源需求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审核员培训+审核计划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触发条件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标准执行率低于80%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应急预案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重新培训、现场辅导、标准修订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2.4 短期产能波动影响交付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应对策略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减轻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具体措施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 改善活动安排在非高峰时段</w:t>
            </w:r>
          </w:p>
        </w:tc>
      </w:tr>
      <w:tr>
        <w:tc>
          <w:tcPr>
            <w:tcW w:type="dxa" w:w="4150"/>
          </w:tcPr>
          <w:p>
            <w:r/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 提前与客户沟通可能的交付调整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 建立安全库存缓冲</w:t>
            </w:r>
          </w:p>
        </w:tc>
      </w:tr>
      <w:tr>
        <w:tc>
          <w:tcPr>
            <w:tcW w:type="dxa" w:w="4150"/>
          </w:tcPr>
          <w:p>
            <w:r/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 分步实施，避免大面积同时调整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资源需求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产能规划+库存缓冲资金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触发条件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产线利用率低于90%或交付延迟风险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应急预案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启动备用产能方案，必要时安排加班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风险应对跟踪表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风险编号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应对措施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计划完成日期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实际完成日期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效果评估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R01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_[措施]_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_[评估]_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进行中/已完成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R02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_[措施]_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_[评估]_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进行中/已完成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使用说明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只针对重要风险</w:t>
      </w:r>
      <w:r>
        <w:rPr>
          <w:rFonts w:ascii="SimSun" w:hAnsi="SimSun"/>
          <w:b w:val="0"/>
          <w:i w:val="0"/>
          <w:sz w:val="22"/>
        </w:rPr>
        <w:t>：为红区和橙区风险制定详细应对计划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措施具体可执行</w:t>
      </w:r>
      <w:r>
        <w:rPr>
          <w:rFonts w:ascii="SimSun" w:hAnsi="SimSun"/>
          <w:b w:val="0"/>
          <w:i w:val="0"/>
          <w:sz w:val="22"/>
        </w:rPr>
        <w:t>：避免笼统的描述，每条措施应可落实到人和时间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明确触发条件</w:t>
      </w:r>
      <w:r>
        <w:rPr>
          <w:rFonts w:ascii="SimSun" w:hAnsi="SimSun"/>
          <w:b w:val="0"/>
          <w:i w:val="0"/>
          <w:sz w:val="22"/>
        </w:rPr>
        <w:t>：应急预案的触发条件要清晰，避免反应滞后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定期评审效果</w:t>
      </w:r>
      <w:r>
        <w:rPr>
          <w:rFonts w:ascii="SimSun" w:hAnsi="SimSun"/>
          <w:b w:val="0"/>
          <w:i w:val="0"/>
          <w:sz w:val="22"/>
        </w:rPr>
        <w:t>：应对措施实施后要评估效果，必要时调整策略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与风险登记册同步</w:t>
      </w:r>
      <w:r>
        <w:rPr>
          <w:rFonts w:ascii="SimSun" w:hAnsi="SimSun"/>
          <w:b w:val="0"/>
          <w:i w:val="0"/>
          <w:sz w:val="22"/>
        </w:rPr>
        <w:t>：应对计划的更新应同步反映到风险登记册中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经验积累</w:t>
      </w:r>
      <w:r>
        <w:rPr>
          <w:rFonts w:ascii="SimSun" w:hAnsi="SimSun"/>
          <w:b w:val="0"/>
          <w:i w:val="0"/>
          <w:sz w:val="22"/>
        </w:rPr>
        <w:t>：典型风险的应对经验应纳入组织知识库，供后续项目参考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风险应对计划模板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