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ROI测算表模板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ROI测算框架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测算假设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假设项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设定值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_[XX]_个月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精益转型总周期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折现率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企业加权平均资本成本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税率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企业适用所得税率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年工作日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_[XX]_天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年有效工作天数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日产出量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_[XX]_件/天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基准日产出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产品单价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_[XX]_元/件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加权平均单价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年收入基准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_[XX]_万元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项目前年营业收入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投资科目明细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投资科目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金额（万元）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发生时间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精益咨询顾问费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第1-12月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含诊断、辅导费用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外部培训费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第1-6月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课程费、讲师费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标杆考察费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差旅+考察费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内部培训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培训教材开发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第1-3月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员工培训工时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第1-18月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按工时折算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培训设施购置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沙盘、教具等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生产线布局改造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第6-12月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模具工装改造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第10-15月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快速换型相关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防错装置开发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第10-15月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Poka-Yoke装置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可视化设施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第4-6月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看板、标识等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四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人力投入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项目团队人力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全周期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全职/兼职折算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管理层参与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全周期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会议、评审时间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五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其他费用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差旅费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全周期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软件工具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项目管理工具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应急储备（10%）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投资总计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_[总额]_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收益科目明细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收益科目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年收益（万元）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收益来源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量化依据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效率提升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OEE提升收益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产能增加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OEE从_%提升至_%，增加产出_件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换型时间减少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有效工时增加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每班减少停机_分钟×日班次×工作日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人员效率提升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人均产出增加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人均产出提升_%，可优化人员_人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不良降低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废品损失减少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PPM从_降至_，减少废品_件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返工成本减少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返工率降低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返工率从_%降至_%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客户投诉减少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质量成本降低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索赔金额减少_万元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库存减少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WIP库存降低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资金占用减少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WIP从_天降至_天，释放资金_万元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成品库存降低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资金占用减少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库存周转率提升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仓储成本降低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空间和管理成本减少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四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交付改善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准时交付率提升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客户满意度提升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准时率从_%提升至_%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交付周期缩短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在手订单增加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新增订单机会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五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其他收益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_[小计]_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能耗降低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减少浪费</w:t>
            </w:r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事故减少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年收益总计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_[总额]_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财务指标计算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净现值（NPV）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NPV = Σ(Ct / (1+r)^t) - C0</w:t>
        <w:br/>
        <w:br/>
        <w:t>其中：</w:t>
        <w:br/>
        <w:t>Ct = 第t年的净现金流</w:t>
        <w:br/>
        <w:t>r = 折现率</w:t>
        <w:br/>
        <w:t>C0 = 初始投资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年份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投资（万元）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净现金流（万元）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折现系数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现值（万元）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第0年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_[投资额]_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-_[投资额]_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-_[现值]_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第1年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_[投资额]_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_[收益]_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_[净现金流]_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_[系数]_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_[现值]_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第2年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_[投资额]_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_[收益]_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_[净现金流]_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_[系数]_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_[现值]_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第3年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_[收益]_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_[净现金流]_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_[系数]_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_[现值]_</w:t>
            </w:r>
          </w:p>
        </w:tc>
      </w:tr>
      <w:tr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NPV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_[总额]_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内部收益率（IRR）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IRR是使NPV=0时的折现率，通常通过试算法或财务软件计算。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计算结果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IRR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企业要求回报率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是否达标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投资回收期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静态回收期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动态回收期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计算结果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_[X]_年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企业要求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≤4年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紧固件企业ROI测算示例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示例假设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假设值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企业规模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年产值5000万元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员工人数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200人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产品类型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标准紧固件（螺栓、螺母、螺钉）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折现率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示例投资（总投资约180万元）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投资科目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金额（万元）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人力投入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其他+应急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示例年收益（年收益约95万元）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收益科目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年收益（万元）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OEE提升（85%→90%）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不良降低（800PPM→400PPM）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26%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换型时间减少（30分→15分）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库存减少（5天→3天）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交付改善+其他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5.4 示例财务指标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计算结果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NPV（3年，8%折现）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约60万元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正值，可行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IRR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约28%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高于8%，可行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静态回收期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约1.9年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&lt;3年，可行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动态回收期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约2.1年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&lt;4年，可行</w:t>
            </w:r>
          </w:p>
        </w:tc>
      </w:tr>
    </w:tbl>
    <w:p/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结论：</w:t>
      </w:r>
      <w:r>
        <w:rPr>
          <w:rFonts w:ascii="SimSun" w:hAnsi="SimSun"/>
          <w:b w:val="0"/>
          <w:i/>
          <w:sz w:val="20"/>
        </w:rPr>
        <w:t xml:space="preserve"> 投资回报率约53%（95÷180），项目具有良好的经济可行性。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保守估算</w:t>
      </w:r>
      <w:r>
        <w:rPr>
          <w:rFonts w:ascii="SimSun" w:hAnsi="SimSun"/>
          <w:b w:val="0"/>
          <w:i w:val="0"/>
          <w:sz w:val="22"/>
        </w:rPr>
        <w:t>：收益估算应保守，避免过度乐观影响决策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数据支撑</w:t>
      </w:r>
      <w:r>
        <w:rPr>
          <w:rFonts w:ascii="SimSun" w:hAnsi="SimSun"/>
          <w:b w:val="0"/>
          <w:i w:val="0"/>
          <w:sz w:val="22"/>
        </w:rPr>
        <w:t>：所有假设和数据应有依据，必要时进行敏感性分析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分阶段测算</w:t>
      </w:r>
      <w:r>
        <w:rPr>
          <w:rFonts w:ascii="SimSun" w:hAnsi="SimSun"/>
          <w:b w:val="0"/>
          <w:i w:val="0"/>
          <w:sz w:val="22"/>
        </w:rPr>
        <w:t>：建议按年度分别测算，便于分阶段验证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定性收益</w:t>
      </w:r>
      <w:r>
        <w:rPr>
          <w:rFonts w:ascii="SimSun" w:hAnsi="SimSun"/>
          <w:b w:val="0"/>
          <w:i w:val="0"/>
          <w:sz w:val="22"/>
        </w:rPr>
        <w:t>：除量化收益外，还应记录难以量化的定性收益（如员工能力提升、企业文化改善）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持续跟踪</w:t>
      </w:r>
      <w:r>
        <w:rPr>
          <w:rFonts w:ascii="SimSun" w:hAnsi="SimSun"/>
          <w:b w:val="0"/>
          <w:i w:val="0"/>
          <w:sz w:val="22"/>
        </w:rPr>
        <w:t>：项目实施过程中定期对比实际收益与预估，及时调整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多方审核</w:t>
      </w:r>
      <w:r>
        <w:rPr>
          <w:rFonts w:ascii="SimSun" w:hAnsi="SimSun"/>
          <w:b w:val="0"/>
          <w:i w:val="0"/>
          <w:sz w:val="22"/>
        </w:rPr>
        <w:t>：财务数据应由财务部门审核确认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案例积累</w:t>
      </w:r>
      <w:r>
        <w:rPr>
          <w:rFonts w:ascii="SimSun" w:hAnsi="SimSun"/>
          <w:b w:val="0"/>
          <w:i w:val="0"/>
          <w:sz w:val="22"/>
        </w:rPr>
        <w:t>：完成的ROI测算应归档作为后续项目的参考基准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ROI测算表模板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