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SimHei" w:hAnsi="SimHei"/>
          <w:b/>
          <w:i w:val="0"/>
          <w:sz w:val="44"/>
        </w:rPr>
        <w:t>阶段3：扩展与部署（第9-18月）</w:t>
      </w:r>
    </w:p>
    <w:p>
      <w:pPr>
        <w:ind w:left="567"/>
        <w:pBdr>
          <w:left w:val="single" w:sz="12" w:space="4" w:color="2E75B6"/>
        </w:pBdr>
      </w:pPr>
      <w:r>
        <w:rPr>
          <w:rFonts w:ascii="SimSun" w:hAnsi="SimSun"/>
          <w:b w:val="0"/>
          <w:i/>
          <w:sz w:val="20"/>
        </w:rPr>
        <w:t>本阶段将试点成功经验推广到全厂所有工序，建立拉动系统、平准化排产和TPM基础体系，实现精益的全面覆盖。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目标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将精益从试点区域扩展到全厂5个工序，建立拉动式生产系统和日常管理体系，实现精益工具的全面覆盖。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量化目标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指标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9月基线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18月目标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全厂OEE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试点区域达标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全厂≥80%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不良率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试点区域达标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全厂≤1.5%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交付周期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现状值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≤10天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标准作业覆盖率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试点100%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全厂≥80%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看板准确率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-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≥95%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设备故障率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现状值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≤3%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关键活动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第一阶段：全工序扩展（第9-12月）</w:t>
      </w:r>
    </w:p>
    <w:p>
      <w:pPr>
        <w:pStyle w:val="Heading4"/>
      </w:pPr>
      <w:r>
        <w:rPr>
          <w:rFonts w:ascii="SimHei" w:hAnsi="SimHei"/>
          <w:b/>
          <w:i w:val="0"/>
          <w:sz w:val="24"/>
        </w:rPr>
        <w:t>扩展计划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月份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扩展工序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重点工具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方法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第9-10月</w:t>
            </w:r>
          </w:p>
        </w:tc>
        <w:tc>
          <w:tcPr>
            <w:tcW w:type="dxa" w:w="2075"/>
          </w:tcPr>
          <w:p>
            <w:r>
              <w:t>精加工</w:t>
            </w:r>
            <w:r>
              <w:rPr>
                <w:rFonts w:ascii="SimSun" w:hAnsi="SimSun"/>
                <w:b w:val="0"/>
                <w:i w:val="0"/>
                <w:sz w:val="20"/>
              </w:rPr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5S、标准作业、可视化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复制试点经验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第10-11月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热处理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5S、标准作业、TPM基础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复制+调整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第11-12月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表面处理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5S、标准作业、换线改善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复制+调整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第12月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包装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5S、标准作业、效率提升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复制+调整</w:t>
            </w:r>
          </w:p>
        </w:tc>
      </w:tr>
    </w:tbl>
    <w:p/>
    <w:p>
      <w:pPr>
        <w:pStyle w:val="Heading4"/>
      </w:pPr>
      <w:r>
        <w:rPr>
          <w:rFonts w:ascii="SimHei" w:hAnsi="SimHei"/>
          <w:b/>
          <w:i w:val="0"/>
          <w:sz w:val="24"/>
        </w:rPr>
        <w:t>每个工序的标准导入流程</w:t>
      </w:r>
    </w:p>
    <w:p>
      <w:pPr>
        <w:spacing w:before="120" w:after="120"/>
        <w:ind w:left="283"/>
        <w:shd w:fill="F5F5F5" w:val="clear"/>
        <w:pBdr>
          <w:top w:val="single" w:sz="4" w:space="1" w:color="DDDDDD"/>
          <w:left w:val="single" w:sz="4" w:space="4" w:color="DDDDDD"/>
          <w:bottom w:val="single" w:sz="4" w:space="1" w:color="DDDDDD"/>
          <w:right w:val="single" w:sz="4" w:space="4" w:color="DDDDDD"/>
        </w:pBdr>
      </w:pPr>
      <w:r>
        <w:rPr>
          <w:rFonts w:ascii="Courier New" w:hAnsi="Courier New"/>
          <w:color w:val="333333"/>
          <w:sz w:val="18"/>
        </w:rPr>
        <w:t>Week 1：5S培训 + 红牌作战</w:t>
        <w:br/>
        <w:t>Week 2：5S实施 + 可视化管理</w:t>
        <w:br/>
        <w:t>Week 3-4：标准作业建立（观测→编制→培训→执行）</w:t>
        <w:br/>
        <w:t>Week 5：改善活动（小型Kaizen）</w:t>
        <w:br/>
        <w:t>Week 6：指标建立 + 管理板上线</w:t>
      </w:r>
    </w:p>
    <w:p>
      <w:pPr>
        <w:pStyle w:val="Heading4"/>
      </w:pPr>
      <w:r>
        <w:rPr>
          <w:rFonts w:ascii="SimHei" w:hAnsi="SimHei"/>
          <w:b/>
          <w:i w:val="0"/>
          <w:sz w:val="24"/>
        </w:rPr>
        <w:t>内部讲师培养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任务</w:t>
            </w:r>
          </w:p>
        </w:tc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选拔内部讲师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从试点区域选拔5-8名精益骨干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讲师培训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40课时系统培训+实战演练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试讲考核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每人完成至少1次试讲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认证上岗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考核通过后担任内部讲师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辅导各工序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每位讲师负责1-2个工序的导入辅导</w:t>
            </w:r>
          </w:p>
        </w:tc>
      </w:tr>
    </w:tbl>
    <w:p/>
    <w:p>
      <w:pPr>
        <w:pStyle w:val="Heading3"/>
      </w:pPr>
      <w:r>
        <w:rPr>
          <w:rFonts w:ascii="SimHei" w:hAnsi="SimHei"/>
          <w:b/>
          <w:i w:val="0"/>
          <w:sz w:val="26"/>
        </w:rPr>
        <w:t>第二阶段：拉动系统建设（第12-15月）</w:t>
      </w:r>
    </w:p>
    <w:p>
      <w:pPr>
        <w:pStyle w:val="Heading4"/>
      </w:pPr>
      <w:r>
        <w:rPr>
          <w:rFonts w:ascii="SimHei" w:hAnsi="SimHei"/>
          <w:b/>
          <w:i w:val="0"/>
          <w:sz w:val="24"/>
        </w:rPr>
        <w:t>看板系统设计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任务</w:t>
            </w:r>
          </w:p>
        </w:tc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看板类型选择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确定使用生产看板、看板、信号看板等类型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看板数量计算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基于提前期和需求波动计算看板数量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超市库存设计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在关键工序间设计缓冲库存点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看板规则制定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明确看板的使用、回收、异常处理规则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看板制作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制作实体看板或电子看板</w:t>
            </w:r>
          </w:p>
        </w:tc>
      </w:tr>
    </w:tbl>
    <w:p/>
    <w:p>
      <w:pPr>
        <w:spacing w:after="120"/>
      </w:pPr>
      <w:r>
        <w:rPr>
          <w:rFonts w:ascii="SimSun" w:hAnsi="SimSun"/>
          <w:b/>
          <w:i w:val="0"/>
          <w:sz w:val="22"/>
        </w:rPr>
        <w:t>看板数量计算公式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spacing w:before="120" w:after="120"/>
        <w:ind w:left="283"/>
        <w:shd w:fill="F5F5F5" w:val="clear"/>
        <w:pBdr>
          <w:top w:val="single" w:sz="4" w:space="1" w:color="DDDDDD"/>
          <w:left w:val="single" w:sz="4" w:space="4" w:color="DDDDDD"/>
          <w:bottom w:val="single" w:sz="4" w:space="1" w:color="DDDDDD"/>
          <w:right w:val="single" w:sz="4" w:space="4" w:color="DDDDDD"/>
        </w:pBdr>
      </w:pPr>
      <w:r>
        <w:rPr>
          <w:rFonts w:ascii="Courier New" w:hAnsi="Courier New"/>
          <w:color w:val="333333"/>
          <w:sz w:val="18"/>
        </w:rPr>
        <w:t>看板数量 = (日均需求 × 提前期 × (1 + 安全系数)) / 看板标准批量</w:t>
        <w:br/>
        <w:br/>
        <w:t>例：日均需求1000件，提前期2天，安全系数20%，每箱500件</w:t>
        <w:br/>
        <w:t>看板数量 = (1000 × 2 × 1.2) / 500 = 4.8 ≈ 5张看板</w:t>
      </w:r>
    </w:p>
    <w:p>
      <w:pPr>
        <w:pStyle w:val="Heading4"/>
      </w:pPr>
      <w:r>
        <w:rPr>
          <w:rFonts w:ascii="SimHei" w:hAnsi="SimHei"/>
          <w:b/>
          <w:i w:val="0"/>
          <w:sz w:val="24"/>
        </w:rPr>
        <w:t>看板试运行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步骤</w:t>
            </w:r>
          </w:p>
        </w:tc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模拟运行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在会议室用模拟道具演练看板流程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现场试运行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在选定的工序间开始试运行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问题收集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每天收集运行中的问题和异常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规则调整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根据试运行情况调整看板参数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正式运行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问题解决后转为正式运行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持续优化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每月review看板运行效果，持续优化</w:t>
            </w:r>
          </w:p>
        </w:tc>
      </w:tr>
    </w:tbl>
    <w:p/>
    <w:p>
      <w:pPr>
        <w:pStyle w:val="Heading3"/>
      </w:pPr>
      <w:r>
        <w:rPr>
          <w:rFonts w:ascii="SimHei" w:hAnsi="SimHei"/>
          <w:b/>
          <w:i w:val="0"/>
          <w:sz w:val="26"/>
        </w:rPr>
        <w:t>第三阶段：平准化排产（第13-16月）</w:t>
      </w:r>
    </w:p>
    <w:p>
      <w:pPr>
        <w:pStyle w:val="Heading4"/>
      </w:pPr>
      <w:r>
        <w:rPr>
          <w:rFonts w:ascii="SimHei" w:hAnsi="SimHei"/>
          <w:b/>
          <w:i w:val="0"/>
          <w:sz w:val="24"/>
        </w:rPr>
        <w:t>平准化设计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任务</w:t>
            </w:r>
          </w:p>
        </w:tc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需求分析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分析近12个月的订单模式和波动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产品分族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按工艺路线和加工时间将产品分族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节拍确定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根据需求确定日生产节拍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混合排产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设计同一品种批量最小化的排产模式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产线调整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根据平准化需求调整设备布局和人员配置</w:t>
            </w:r>
          </w:p>
        </w:tc>
      </w:tr>
    </w:tbl>
    <w:p/>
    <w:p>
      <w:pPr>
        <w:spacing w:after="120"/>
      </w:pPr>
      <w:r>
        <w:rPr>
          <w:rFonts w:ascii="SimSun" w:hAnsi="SimSun"/>
          <w:b/>
          <w:i w:val="0"/>
          <w:sz w:val="22"/>
        </w:rPr>
        <w:t>平准化排产示例</w:t>
      </w:r>
      <w:r>
        <w:rPr>
          <w:rFonts w:ascii="SimSun" w:hAnsi="SimSun"/>
          <w:b w:val="0"/>
          <w:i w:val="0"/>
          <w:sz w:val="22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传统排产</w:t>
            </w:r>
          </w:p>
        </w:tc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平准化排产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A产品1000件 → B产品500件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A-B-A-B-A循环生产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批量大、换型少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批量小、换型多但换型快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库存高、响应慢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库存低、响应快</w:t>
            </w:r>
          </w:p>
        </w:tc>
      </w:tr>
    </w:tbl>
    <w:p/>
    <w:p>
      <w:pPr>
        <w:pStyle w:val="Heading4"/>
      </w:pPr>
      <w:r>
        <w:rPr>
          <w:rFonts w:ascii="SimHei" w:hAnsi="SimHei"/>
          <w:b/>
          <w:i w:val="0"/>
          <w:sz w:val="24"/>
        </w:rPr>
        <w:t>换型时间优化配合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平准化排产要求快速换型，与SMED项目配合：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识别当前换型时间的构成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区分内部作业和外部作业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将内部作业转化为外部作业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优化剩余内部作业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第四阶段：TPM基础导入（第14-18月）</w:t>
      </w:r>
    </w:p>
    <w:p>
      <w:pPr>
        <w:pStyle w:val="Heading4"/>
      </w:pPr>
      <w:r>
        <w:rPr>
          <w:rFonts w:ascii="SimHei" w:hAnsi="SimHei"/>
          <w:b/>
          <w:i w:val="0"/>
          <w:sz w:val="24"/>
        </w:rPr>
        <w:t>自主保全3步法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步骤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内容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时间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第1步：初期清扫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设备清扫+劣化点检+困难点标注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2-3周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第2步：困难点对策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针对清扫困难点和劣化源制定对策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3-4周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第3步：自主基准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编制自主保全基准书，培训操作工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2-3周</w:t>
            </w:r>
          </w:p>
        </w:tc>
      </w:tr>
    </w:tbl>
    <w:p/>
    <w:p>
      <w:pPr>
        <w:pStyle w:val="Heading4"/>
      </w:pPr>
      <w:r>
        <w:rPr>
          <w:rFonts w:ascii="SimHei" w:hAnsi="SimHei"/>
          <w:b/>
          <w:i w:val="0"/>
          <w:sz w:val="24"/>
        </w:rPr>
        <w:t>计划保全基础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任务</w:t>
            </w:r>
          </w:p>
        </w:tc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设备台账建立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建立全部设备的基本信息台账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故障记录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建立设备故障记录和分析机制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保全计划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制定设备定期保全计划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备件管理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建立关键备件的安全库存管理</w:t>
            </w:r>
          </w:p>
        </w:tc>
      </w:tr>
    </w:tbl>
    <w:p/>
    <w:p>
      <w:pPr>
        <w:pStyle w:val="Heading4"/>
      </w:pPr>
      <w:r>
        <w:rPr>
          <w:rFonts w:ascii="SimHei" w:hAnsi="SimHei"/>
          <w:b/>
          <w:i w:val="0"/>
          <w:sz w:val="24"/>
        </w:rPr>
        <w:t>SMED快速换模项目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任务</w:t>
            </w:r>
          </w:p>
        </w:tc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选择目标设备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选择换模时间最长的关键设备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现状观测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视频记录整个换模过程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作业分析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区分内部作业和外部作业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改善实施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将内部转外部、缩短内部作业时间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验证固化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验证改善效果，标准化新方法</w:t>
            </w:r>
          </w:p>
        </w:tc>
      </w:tr>
    </w:tbl>
    <w:p/>
    <w:p>
      <w:pPr>
        <w:pStyle w:val="Heading3"/>
      </w:pPr>
      <w:r>
        <w:rPr>
          <w:rFonts w:ascii="SimHei" w:hAnsi="SimHei"/>
          <w:b/>
          <w:i w:val="0"/>
          <w:sz w:val="26"/>
        </w:rPr>
        <w:t>第五阶段：A3问题解决和日常管理（第15-18月）</w:t>
      </w:r>
    </w:p>
    <w:p>
      <w:pPr>
        <w:pStyle w:val="Heading4"/>
      </w:pPr>
      <w:r>
        <w:rPr>
          <w:rFonts w:ascii="SimHei" w:hAnsi="SimHei"/>
          <w:b/>
          <w:i w:val="0"/>
          <w:sz w:val="24"/>
        </w:rPr>
        <w:t>A3问题解决培训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对象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内容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课时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中层管理者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A3思维、A3报告编制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16课时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班组长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基础问题解决、鱼骨图、5Why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8课时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精益推进团队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高级A3应用、教练技术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24课时</w:t>
            </w:r>
          </w:p>
        </w:tc>
      </w:tr>
    </w:tbl>
    <w:p/>
    <w:p>
      <w:pPr>
        <w:pStyle w:val="Heading4"/>
      </w:pPr>
      <w:r>
        <w:rPr>
          <w:rFonts w:ascii="SimHei" w:hAnsi="SimHei"/>
          <w:b/>
          <w:i w:val="0"/>
          <w:sz w:val="24"/>
        </w:rPr>
        <w:t>日常管理站立会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要素</w:t>
            </w:r>
          </w:p>
        </w:tc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时间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每日早班开始后10-15分钟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地点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管理板前站立召开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参与者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班组长+操作工代表+主管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内容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昨日目标vs实际、异常处理、今日重点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记录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简要记录异常和待处理事项</w:t>
            </w:r>
          </w:p>
        </w:tc>
      </w:tr>
    </w:tbl>
    <w:p/>
    <w:p>
      <w:pPr>
        <w:pStyle w:val="Heading4"/>
      </w:pPr>
      <w:r>
        <w:rPr>
          <w:rFonts w:ascii="SimHei" w:hAnsi="SimHei"/>
          <w:b/>
          <w:i w:val="0"/>
          <w:sz w:val="24"/>
        </w:rPr>
        <w:t>分层审核体系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层级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审核内容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频率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审核人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班组长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5S、标准作业执行、安全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每日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班组长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主管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5S、指标、改善进展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每周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车间主管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经理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全面精益状态、体系运行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每月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部门经理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总监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战略对齐、重大问题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每季度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精益总监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交付物清单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序号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交付物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完成时间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负责人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各工序5S和标准作业导入报告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第12月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推进团队+内部讲师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内部讲师认证名单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第11月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精益推进办公室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3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看板系统设计方案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第13月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精益推进团队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4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看板运行记录和优化报告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第15月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计划部+推进团队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平准化排产方案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第14月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计划部+推进团队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6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TPM自主保全基准书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第17月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设备部+推进团队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7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SMED改善报告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第17月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设备部+推进团队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8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A3培训记录和案例集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第18月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精益推进办公室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9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日常管理制度文件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第17月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精益推进办公室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全厂精益状态评估报告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第18月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精益推进办公室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资源需求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资源类型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数量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精益推进员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5人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全职投入，覆盖全部工序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内部讲师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5-8人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兼职，各工序精益骨干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外部顾问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1人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每月2-3天指导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看板制作费用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3-5万元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看板、超市货架等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SMED改造费用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5-10万元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快速换模装置、工装改进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培训费用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5-8万元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A3培训、外部研修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TPM费用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3-5万元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清扫工具、点检工具、标识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风险和应对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风险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可能性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影响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应对策略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扩展速度过快导致质量下降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中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高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控制节奏，每个工序充分导入后再扩展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内部讲师能力不足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中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中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增加辅导，配对带教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看板运行不稳定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高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中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先模拟再试运行，持续优化参数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设备部配合TPM不积极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中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高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高层协调，明确TPM对设备部的价值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业务忙季冲击推进计划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高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中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将精益融入日常运营，减少额外负担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跨部门协作问题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中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中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精益推进委员会协调，联合改善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里程碑检查点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第18月末检查点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检查项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达标标准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全工序覆盖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5个工序全部完成精益基础导入</w:t>
            </w:r>
          </w:p>
        </w:tc>
        <w:tc>
          <w:tcPr>
            <w:tcW w:type="dxa" w:w="2767"/>
          </w:tcPr>
          <w:p>
            <w:r/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全厂OEE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≥80%</w:t>
            </w:r>
          </w:p>
        </w:tc>
        <w:tc>
          <w:tcPr>
            <w:tcW w:type="dxa" w:w="2767"/>
            <w:shd w:fill="EDF2F9" w:val="clear"/>
          </w:tcPr>
          <w:p>
            <w:r/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不良率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≤1.5%</w:t>
            </w:r>
          </w:p>
        </w:tc>
        <w:tc>
          <w:tcPr>
            <w:tcW w:type="dxa" w:w="2767"/>
          </w:tcPr>
          <w:p>
            <w:r/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交付周期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≤10天</w:t>
            </w:r>
          </w:p>
        </w:tc>
        <w:tc>
          <w:tcPr>
            <w:tcW w:type="dxa" w:w="2767"/>
            <w:shd w:fill="EDF2F9" w:val="clear"/>
          </w:tcPr>
          <w:p>
            <w:r/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标准作业覆盖率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≥80%</w:t>
            </w:r>
          </w:p>
        </w:tc>
        <w:tc>
          <w:tcPr>
            <w:tcW w:type="dxa" w:w="2767"/>
          </w:tcPr>
          <w:p>
            <w:r/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看板系统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稳定运行3个月以上</w:t>
            </w:r>
          </w:p>
        </w:tc>
        <w:tc>
          <w:tcPr>
            <w:tcW w:type="dxa" w:w="2767"/>
            <w:shd w:fill="EDF2F9" w:val="clear"/>
          </w:tcPr>
          <w:p>
            <w:r/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TPM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自主保全制度化运行</w:t>
            </w:r>
          </w:p>
        </w:tc>
        <w:tc>
          <w:tcPr>
            <w:tcW w:type="dxa" w:w="2767"/>
          </w:tcPr>
          <w:p>
            <w:r/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日常管理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站立会、分层审核常态化</w:t>
            </w:r>
          </w:p>
        </w:tc>
        <w:tc>
          <w:tcPr>
            <w:tcW w:type="dxa" w:w="2767"/>
            <w:shd w:fill="EDF2F9" w:val="clear"/>
          </w:tcPr>
          <w:p>
            <w:r/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A3能力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中层管理者掌握A3问题解决</w:t>
            </w:r>
          </w:p>
        </w:tc>
        <w:tc>
          <w:tcPr>
            <w:tcW w:type="dxa" w:w="2767"/>
          </w:tcPr>
          <w:p>
            <w:r/>
          </w:p>
        </w:tc>
      </w:tr>
    </w:tbl>
    <w:p/>
    <w:p>
      <w:pPr>
        <w:spacing w:after="120"/>
      </w:pPr>
      <w:r>
        <w:rPr>
          <w:rFonts w:ascii="SimSun" w:hAnsi="SimSun"/>
          <w:b/>
          <w:i w:val="0"/>
          <w:sz w:val="22"/>
        </w:rPr>
        <w:t>评审结果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通过 → 进入阶段4（整合与文化）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有条件通过 → 补充完善后进入阶段4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不通过 → 分析原因，集中解决关键瓶颈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阶段3经验提示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扩展不是简单复制</w:t>
      </w:r>
      <w:r>
        <w:rPr>
          <w:rFonts w:ascii="SimSun" w:hAnsi="SimSun"/>
          <w:b w:val="0"/>
          <w:i w:val="0"/>
          <w:sz w:val="22"/>
        </w:rPr>
        <w:t>：每个工序有自己的特点，需要因地制宜调整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看板设计要简单起步</w:t>
      </w:r>
      <w:r>
        <w:rPr>
          <w:rFonts w:ascii="SimSun" w:hAnsi="SimSun"/>
          <w:b w:val="0"/>
          <w:i w:val="0"/>
          <w:sz w:val="22"/>
        </w:rPr>
        <w:t>：先从简单的看板开始，逐步复杂化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TPM要操作工参与</w:t>
      </w:r>
      <w:r>
        <w:rPr>
          <w:rFonts w:ascii="SimSun" w:hAnsi="SimSun"/>
          <w:b w:val="0"/>
          <w:i w:val="0"/>
          <w:sz w:val="22"/>
        </w:rPr>
        <w:t>：自主保全不是设备部的事，操作工是主体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SMED要视频记录</w:t>
      </w:r>
      <w:r>
        <w:rPr>
          <w:rFonts w:ascii="SimSun" w:hAnsi="SimSun"/>
          <w:b w:val="0"/>
          <w:i w:val="0"/>
          <w:sz w:val="22"/>
        </w:rPr>
        <w:t>：用视频分析换模过程，比文字记录更直观有效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日常管理是关键</w:t>
      </w:r>
      <w:r>
        <w:rPr>
          <w:rFonts w:ascii="SimSun" w:hAnsi="SimSun"/>
          <w:b w:val="0"/>
          <w:i w:val="0"/>
          <w:sz w:val="22"/>
        </w:rPr>
        <w:t>：站立会和分层审核是维持改善成果的核心机制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SimSun" w:hAnsi="SimSu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Hei" w:hAnsi="SimHei" w:eastAsia="SimHei"/>
      <w:b/>
      <w:bCs/>
      <w:color w:val="1F3A5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imHei" w:hAnsi="SimHei" w:eastAsia="SimHei"/>
      <w:b/>
      <w:bCs/>
      <w:color w:val="1F3A5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imHei" w:hAnsi="SimHei" w:eastAsia="SimHei"/>
      <w:b/>
      <w:bCs/>
      <w:color w:val="1F3A5F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imHei" w:hAnsi="SimHei" w:eastAsia="SimHei"/>
      <w:b/>
      <w:bCs/>
      <w:i/>
      <w:iCs/>
      <w:color w:val="1F3A5F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阶段3：扩展与部署（第9-18月）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