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504F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66F49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4F11C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RESIDÊNCIA EM TIC 29 — WEB 3.0</w:t>
      </w:r>
    </w:p>
    <w:p w14:paraId="5CC9261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A4C9B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56"/>
          <w14:textFill>
            <w14:solidFill>
              <w14:schemeClr w14:val="tx1"/>
            </w14:solidFill>
          </w14:textFill>
        </w:rPr>
        <w:t>EduProtocol</w:t>
      </w:r>
    </w:p>
    <w:p w14:paraId="1C0F03F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Protocolo Descentralizado de Educação Web3</w:t>
      </w:r>
    </w:p>
    <w:p w14:paraId="469D986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385D7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336"/>
      </w:tblGrid>
      <w:tr w14:paraId="5033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150DD119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Unidade</w:t>
            </w:r>
          </w:p>
        </w:tc>
        <w:tc>
          <w:tcPr>
            <w:tcW w:w="6336" w:type="dxa"/>
            <w:shd w:val="clear" w:color="auto" w:fill="auto"/>
          </w:tcPr>
          <w:p w14:paraId="20497AC1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1 - Capítulo 5</w:t>
            </w:r>
          </w:p>
        </w:tc>
      </w:tr>
      <w:tr w14:paraId="4456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11195357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Atividade</w:t>
            </w:r>
          </w:p>
        </w:tc>
        <w:tc>
          <w:tcPr>
            <w:tcW w:w="6336" w:type="dxa"/>
            <w:shd w:val="clear" w:color="auto" w:fill="auto"/>
          </w:tcPr>
          <w:p w14:paraId="500DD29B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Desenvolvimento de Protocolo Web3 Completo com Deploy em Testnet</w:t>
            </w:r>
          </w:p>
        </w:tc>
      </w:tr>
      <w:tr w14:paraId="4F11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370409E6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Nível</w:t>
            </w:r>
          </w:p>
        </w:tc>
        <w:tc>
          <w:tcPr>
            <w:tcW w:w="6336" w:type="dxa"/>
            <w:shd w:val="clear" w:color="auto" w:fill="auto"/>
          </w:tcPr>
          <w:p w14:paraId="3D1AA1BC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Avançado 2 de 3</w:t>
            </w:r>
          </w:p>
        </w:tc>
      </w:tr>
      <w:tr w14:paraId="1FAC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6D6C7805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Aluno</w:t>
            </w:r>
          </w:p>
        </w:tc>
        <w:tc>
          <w:tcPr>
            <w:tcW w:w="6336" w:type="dxa"/>
            <w:shd w:val="clear" w:color="auto" w:fill="auto"/>
          </w:tcPr>
          <w:p w14:paraId="2E0939C1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Alanio Ferreira de Lima</w:t>
            </w:r>
          </w:p>
        </w:tc>
      </w:tr>
      <w:tr w14:paraId="0B20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16B1920A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Professor</w:t>
            </w:r>
          </w:p>
        </w:tc>
        <w:tc>
          <w:tcPr>
            <w:tcW w:w="6336" w:type="dxa"/>
            <w:shd w:val="clear" w:color="auto" w:fill="auto"/>
          </w:tcPr>
          <w:p w14:paraId="780EACD2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Bruno Portes</w:t>
            </w:r>
          </w:p>
        </w:tc>
      </w:tr>
      <w:tr w14:paraId="0225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44C0CA21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Rede de Deploy</w:t>
            </w:r>
          </w:p>
        </w:tc>
        <w:tc>
          <w:tcPr>
            <w:tcW w:w="6336" w:type="dxa"/>
            <w:shd w:val="clear" w:color="auto" w:fill="auto"/>
          </w:tcPr>
          <w:p w14:paraId="39788C72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Sepolia Testnet (Ethereum)</w:t>
            </w:r>
          </w:p>
        </w:tc>
      </w:tr>
      <w:tr w14:paraId="65D2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0EC8758A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6336" w:type="dxa"/>
            <w:shd w:val="clear" w:color="auto" w:fill="auto"/>
          </w:tcPr>
          <w:p w14:paraId="32AE7C14">
            <w:pPr>
              <w:spacing w:before="80" w:after="8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Abril de 2025</w:t>
            </w:r>
          </w:p>
        </w:tc>
      </w:tr>
      <w:tr w14:paraId="0B54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auto"/>
          </w:tcPr>
          <w:p w14:paraId="28984916">
            <w:pPr>
              <w:spacing w:before="80" w:after="80" w:line="240" w:lineRule="auto"/>
              <w:rPr>
                <w:rFonts w:hint="default"/>
                <w:b/>
                <w:color w:val="000000" w:themeColor="text1"/>
                <w:sz w:val="20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color w:val="000000" w:themeColor="text1"/>
                <w:sz w:val="20"/>
                <w:lang w:val="pt-BR"/>
                <w14:textFill>
                  <w14:solidFill>
                    <w14:schemeClr w14:val="tx1"/>
                  </w14:solidFill>
                </w14:textFill>
              </w:rPr>
              <w:t>Projeto Git</w:t>
            </w:r>
          </w:p>
        </w:tc>
        <w:tc>
          <w:tcPr>
            <w:tcW w:w="6336" w:type="dxa"/>
            <w:shd w:val="clear" w:color="auto" w:fill="auto"/>
          </w:tcPr>
          <w:p w14:paraId="146D86C1">
            <w:pPr>
              <w:spacing w:before="80" w:after="80" w:line="240" w:lineRule="auto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https://github.com/Allanio007/eduprotocol</w:t>
            </w:r>
            <w:bookmarkStart w:id="0" w:name="_GoBack"/>
            <w:bookmarkEnd w:id="0"/>
          </w:p>
        </w:tc>
      </w:tr>
    </w:tbl>
    <w:p w14:paraId="22B40D2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05EE7C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Sumário</w:t>
      </w:r>
    </w:p>
    <w:p w14:paraId="49AAB078">
      <w:pPr>
        <w:spacing w:after="40"/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BF8B361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1.  Definição do Problema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............................................................................................................................. 3</w:t>
      </w:r>
    </w:p>
    <w:p w14:paraId="3092CE93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2.  Arquitetura do Protocolo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 3</w:t>
      </w:r>
    </w:p>
    <w:p w14:paraId="5D65A9EC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3.  Justificativa dos Padrões ERC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 4</w:t>
      </w:r>
    </w:p>
    <w:p w14:paraId="22849A0A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4.  Implementação Técnica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............................................................................................................................ 6</w:t>
      </w:r>
    </w:p>
    <w:p w14:paraId="32842ADB">
      <w:pPr>
        <w:spacing w:after="40"/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4.1  Token ERC-20 — EduToken (EDU)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...................................................................................................…….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6</w:t>
      </w:r>
    </w:p>
    <w:p w14:paraId="2A665295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4.2  NFT ERC-721 — EduNFT (EduCertificate)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 6</w:t>
      </w:r>
    </w:p>
    <w:p w14:paraId="02D7C937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4.3  Contrato de Staking — EduStaking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 6</w:t>
      </w:r>
    </w:p>
    <w:p w14:paraId="2A1F32C6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4.4  Governança — EduDAO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 8</w:t>
      </w:r>
    </w:p>
    <w:p w14:paraId="7AAA2427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5.  Segurança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...................................................................................................................................................8</w:t>
      </w:r>
    </w:p>
    <w:p w14:paraId="11B25620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6.  Integração com Oráculo Chainlink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 9</w:t>
      </w:r>
    </w:p>
    <w:p w14:paraId="4E5D83A4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7.  Integração Web3 — ethers.js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 10</w:t>
      </w:r>
    </w:p>
    <w:p w14:paraId="639F14D8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8.  Deploy em Testnet Sepolia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 12</w:t>
      </w:r>
    </w:p>
    <w:p w14:paraId="727E16FD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9.  Relatório de Auditoria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............................................................................................................................ 13</w:t>
      </w:r>
    </w:p>
    <w:p w14:paraId="271BDEF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10.  Conclusão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............................................................................................................................................... 14</w:t>
      </w:r>
    </w:p>
    <w:p w14:paraId="2FA6650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4D262B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1. Definição do Problema</w:t>
      </w:r>
    </w:p>
    <w:p w14:paraId="1F1E4184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mercado de educação online movimenta bilhões de dólares anualmente, porém apresenta falhas estruturais que prejudicam diretamente os alunos. Plataformas centralizadas como Coursera, Udemy e similares detêm controle unilateral sobre certificados emitidos — podendo revogá-los, alterar critérios retroativamente ou simplesmente encerrar as operações, tornando inválidas as conquistas dos estudantes.</w:t>
      </w:r>
    </w:p>
    <w:p w14:paraId="309729E1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Além disso, não existe mecanismo transparente de incentivo ao engajamento contínuo, nem participação real dos alunos nas decisões da plataforma (seleção de cursos, parcerias com instrutores, política de preços).</w:t>
      </w:r>
    </w:p>
    <w:p w14:paraId="678289E3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O EduProtocol resolve esses problemas por meio de quatro pilares:</w:t>
      </w:r>
    </w:p>
    <w:p w14:paraId="19534CFF">
      <w:pPr>
        <w:pStyle w:val="34"/>
        <w:numPr>
          <w:ilvl w:val="0"/>
          <w:numId w:val="7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Imutabilidade: certificados emitidos como NFTs na blockchain não podem ser revogados ou adulterados por nenhuma parte centralizada.</w:t>
      </w:r>
    </w:p>
    <w:p w14:paraId="0AF696B8">
      <w:pPr>
        <w:pStyle w:val="34"/>
        <w:numPr>
          <w:ilvl w:val="0"/>
          <w:numId w:val="7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Incentivo tokenizado: alunos recebem tokens EDU por engajamento e podem ampliá-los via staking com recompensas dinâmicas.</w:t>
      </w:r>
    </w:p>
    <w:p w14:paraId="70DE32B5">
      <w:pPr>
        <w:pStyle w:val="34"/>
        <w:numPr>
          <w:ilvl w:val="0"/>
          <w:numId w:val="7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Governança descentralizada: detentores de EDU votam em propostas sobre o futuro da plataforma, eliminando decisões arbitrárias.</w:t>
      </w:r>
    </w:p>
    <w:p w14:paraId="78C4C135">
      <w:pPr>
        <w:pStyle w:val="34"/>
        <w:numPr>
          <w:ilvl w:val="0"/>
          <w:numId w:val="7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Transparência total: todas as transações, votos e recompensas são verificáveis publicamente na blockchain Ethereum.</w:t>
      </w:r>
    </w:p>
    <w:p w14:paraId="4EC14AF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2. Arquitetura do Protocolo</w:t>
      </w:r>
    </w:p>
    <w:p w14:paraId="7941F394">
      <w:pPr>
        <w:spacing w:before="40" w:after="120"/>
        <w:ind w:firstLine="432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EduProtocol é composto por quatro contratos inteligentes interdependentes, mais uma integração externa com o oráculo Chainlink para dados de mercado em tempo real. O diagrama abaixo ilustra a arquitetura e o fluxo de interação entre os componentes:</w:t>
      </w:r>
    </w:p>
    <w:p w14:paraId="49666B4A">
      <w:r>
        <w:drawing>
          <wp:inline distT="0" distB="0" distL="0" distR="0">
            <wp:extent cx="5918200" cy="4227830"/>
            <wp:effectExtent l="0" t="0" r="635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907" cy="42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2F2">
      <w:pPr>
        <w:spacing w:before="40" w:after="120"/>
        <w:ind w:firstLine="432"/>
        <w:jc w:val="center"/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Figura 1: Protocolo descentralizado da Web3 – Spolia Testnet. 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</w:p>
    <w:p w14:paraId="4F43C120">
      <w:pPr>
        <w:spacing w:before="40" w:after="120"/>
        <w:ind w:firstLine="432"/>
        <w:rPr>
          <w:rFonts w:ascii="Arial" w:hAnsi="Arial" w:cs="Arial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Fluxo principal do usuário: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1. Aluno conclui curso → Plataforma emite NFT (EduNFT.mintCertificate)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2. Aluno recebe EDU como recompensa (EduToken.mintReward via Staking)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3. Aluno faz stake dos EDU (EduStaking.stake) → acumula recompensas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4. Recompensa de staking é ajustada pelo preço ETH/USD (Chainlink)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t>5. Com EDU, aluno vota em propostas da comunidade (EduDAO.votar)</w:t>
      </w:r>
      <w:r>
        <w:rPr>
          <w:rFonts w:ascii="Arial" w:hAnsi="Arial" w:cs="Arial"/>
          <w:i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</w:p>
    <w:p w14:paraId="3DDDC14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F2D08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3. Justificativa dos Padrões ERC</w:t>
      </w:r>
    </w:p>
    <w:p w14:paraId="35DD4DEB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escolha dos padrões ERC foi feita com base na natureza de cada ativo e nos requisitos técnicos do protocolo. A tabela abaixo detalha cada decisão de design: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570"/>
        <w:gridCol w:w="5586"/>
      </w:tblGrid>
      <w:tr w14:paraId="7085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FFFFFF" w:themeFill="background1"/>
          </w:tcPr>
          <w:p w14:paraId="48A7A8F5">
            <w:pPr>
              <w:spacing w:before="80" w:after="8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Componente</w:t>
            </w:r>
          </w:p>
        </w:tc>
        <w:tc>
          <w:tcPr>
            <w:tcW w:w="1570" w:type="dxa"/>
            <w:shd w:val="clear" w:color="auto" w:fill="FFFFFF" w:themeFill="background1"/>
          </w:tcPr>
          <w:p w14:paraId="205C9FFC">
            <w:pPr>
              <w:spacing w:before="80" w:after="8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Padrão</w:t>
            </w:r>
          </w:p>
        </w:tc>
        <w:tc>
          <w:tcPr>
            <w:tcW w:w="5586" w:type="dxa"/>
            <w:shd w:val="clear" w:color="auto" w:fill="FFFFFF" w:themeFill="background1"/>
          </w:tcPr>
          <w:p w14:paraId="2E069C85">
            <w:pPr>
              <w:spacing w:before="80" w:after="8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Justificativa</w:t>
            </w:r>
          </w:p>
        </w:tc>
      </w:tr>
      <w:tr w14:paraId="7852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F5F8FC"/>
          </w:tcPr>
          <w:p w14:paraId="07173C85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EduToken</w:t>
            </w:r>
          </w:p>
        </w:tc>
        <w:tc>
          <w:tcPr>
            <w:tcW w:w="1570" w:type="dxa"/>
            <w:shd w:val="clear" w:color="auto" w:fill="F5F8FC"/>
          </w:tcPr>
          <w:p w14:paraId="66C11EFC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ERC-20</w:t>
            </w:r>
          </w:p>
        </w:tc>
        <w:tc>
          <w:tcPr>
            <w:tcW w:w="5586" w:type="dxa"/>
            <w:shd w:val="clear" w:color="auto" w:fill="F5F8FC"/>
          </w:tcPr>
          <w:p w14:paraId="0BB966B9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Tokens EDU são fungíveis — cada unidade é idêntica e intercambiável. ERC-20 é o padrão universal para tokens fungíveis, com suporte nativo em todas as DEXs, carteiras e contratos DeFi. Permite delegação de gasto (approve/transferFrom), essencial para integração com o contrato de staking.</w:t>
            </w:r>
          </w:p>
        </w:tc>
      </w:tr>
      <w:tr w14:paraId="3D19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FFFFFF"/>
          </w:tcPr>
          <w:p w14:paraId="683FC1B4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EduNFT</w:t>
            </w:r>
          </w:p>
        </w:tc>
        <w:tc>
          <w:tcPr>
            <w:tcW w:w="1570" w:type="dxa"/>
            <w:shd w:val="clear" w:color="auto" w:fill="FFFFFF"/>
          </w:tcPr>
          <w:p w14:paraId="324EB407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ERC-721</w:t>
            </w:r>
          </w:p>
        </w:tc>
        <w:tc>
          <w:tcPr>
            <w:tcW w:w="5586" w:type="dxa"/>
            <w:shd w:val="clear" w:color="auto" w:fill="FFFFFF"/>
          </w:tcPr>
          <w:p w14:paraId="67FF44E3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Certificados são únicos e não replicáveis: o token #1 de Alice é distinto do token #1 de Bob, mesmo referenciando o mesmo curso. ERC-721 garante unicidade on-chain e suporte nativo em marketplaces (OpenSea, Blur). ERC-1155 foi descartado por ser mais adequado para itens em lote; aqui, a individualização é requisito fundamental.</w:t>
            </w:r>
          </w:p>
        </w:tc>
      </w:tr>
      <w:tr w14:paraId="5167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F5F8FC"/>
          </w:tcPr>
          <w:p w14:paraId="795F4C3F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EduStaking</w:t>
            </w:r>
          </w:p>
        </w:tc>
        <w:tc>
          <w:tcPr>
            <w:tcW w:w="1570" w:type="dxa"/>
            <w:shd w:val="clear" w:color="auto" w:fill="F5F8FC"/>
          </w:tcPr>
          <w:p w14:paraId="32AE8062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Personalizado</w:t>
            </w:r>
          </w:p>
        </w:tc>
        <w:tc>
          <w:tcPr>
            <w:tcW w:w="5586" w:type="dxa"/>
            <w:shd w:val="clear" w:color="auto" w:fill="F5F8FC"/>
          </w:tcPr>
          <w:p w14:paraId="0C7CC575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Não existe padrão ERC formal para staking. O contrato implementa o padrão Checks-Effects-Interactions e usa ReentrancyGuard para segurança máxima. Integra AggregatorV3Interface do Chainlink para ajuste dinâmico de taxa.</w:t>
            </w:r>
          </w:p>
        </w:tc>
      </w:tr>
      <w:tr w14:paraId="36ED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FFFFFF"/>
          </w:tcPr>
          <w:p w14:paraId="640F25D0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EduDAO</w:t>
            </w:r>
          </w:p>
        </w:tc>
        <w:tc>
          <w:tcPr>
            <w:tcW w:w="1570" w:type="dxa"/>
            <w:shd w:val="clear" w:color="auto" w:fill="FFFFFF"/>
          </w:tcPr>
          <w:p w14:paraId="4D84848F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Personalizado</w:t>
            </w: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(inspirado EIP-1202)</w:t>
            </w:r>
          </w:p>
        </w:tc>
        <w:tc>
          <w:tcPr>
            <w:tcW w:w="5586" w:type="dxa"/>
            <w:shd w:val="clear" w:color="auto" w:fill="FFFFFF"/>
          </w:tcPr>
          <w:p w14:paraId="3FFE5BCE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Governança simplificada sem timelock para fins de MVP. Inspirada no padrão EIP-1202 (Voting Interface). Em produção, recomenda-se migrar para o Governor do OpenZeppelin com timelock e snapshots de bloco.</w:t>
            </w:r>
          </w:p>
        </w:tc>
      </w:tr>
    </w:tbl>
    <w:p w14:paraId="3F35E98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FA59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773565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4. Implementação Técnica</w:t>
      </w:r>
    </w:p>
    <w:p w14:paraId="5DD2511C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Todo o código foi desenvolvido em Solidity ^0.8.20, auto-contido em um único arquivo EduProtocol.sol para facilitar deploy e auditoria. Cada contrato é modular e pode ser deployado independentemente, com referências entre si passadas via construtor.</w:t>
      </w:r>
    </w:p>
    <w:p w14:paraId="0CB4443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 Token ERC-20 — EduToken (EDU)</w:t>
      </w:r>
    </w:p>
    <w:p w14:paraId="2470A9E5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Especificações técnicas:</w:t>
      </w:r>
    </w:p>
    <w:p w14:paraId="6441726C">
      <w:pPr>
        <w:pStyle w:val="34"/>
        <w:numPr>
          <w:ilvl w:val="0"/>
          <w:numId w:val="8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Nome: EduToken | Símbolo: EDU | Decimais: 18</w:t>
      </w:r>
    </w:p>
    <w:p w14:paraId="1851601F">
      <w:pPr>
        <w:pStyle w:val="34"/>
        <w:numPr>
          <w:ilvl w:val="0"/>
          <w:numId w:val="8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Supply inicial: 1.000.000 EDU (mintados ao deployer no constructor)</w:t>
      </w:r>
    </w:p>
    <w:p w14:paraId="6985A5F5">
      <w:pPr>
        <w:pStyle w:val="34"/>
        <w:numPr>
          <w:ilvl w:val="0"/>
          <w:numId w:val="8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Mintagem adicional: somente pelo contrato de Staking cadastrado via setStakingContract()</w:t>
      </w:r>
    </w:p>
    <w:p w14:paraId="2C77703D">
      <w:pPr>
        <w:pStyle w:val="34"/>
        <w:numPr>
          <w:ilvl w:val="0"/>
          <w:numId w:val="8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Função burn() permite queima voluntária pelo próprio detentor</w:t>
      </w:r>
    </w:p>
    <w:p w14:paraId="04FF0760">
      <w:pPr>
        <w:pStyle w:val="34"/>
        <w:numPr>
          <w:ilvl w:val="0"/>
          <w:numId w:val="8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Implementação equivalente ao OpenZeppelin ERC20 + ERC20Burnable</w:t>
      </w:r>
    </w:p>
    <w:p w14:paraId="3E75064D">
      <w:pPr>
        <w:spacing w:before="40" w:after="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Destaques de implementação:</w:t>
      </w:r>
    </w:p>
    <w:p w14:paraId="128C48DB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Controle de quem pode mintar recompensas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function mintReward(address to, uint256 amount) external 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require(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msg.sender == stakingContract || msg.sender == owner(),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"EduToken: not authorized to mint"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_mint(to, amount);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unchecked nos decrementos de saldo verificados — otimização de gas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unchecked 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_balances[from] -= amount;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_balances[to]   += amount;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3AB307B5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O uso de unchecked é seguro aqui pois o require anterior garante que from possui saldo suficiente, eliminando risco de underflow sem custo de gas adicional.</w:t>
      </w:r>
    </w:p>
    <w:p w14:paraId="4300C69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E04D4B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4.2 NFT ERC-721 — EduNFT (EduCertificate)</w:t>
      </w:r>
    </w:p>
    <w:p w14:paraId="403D9515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Especificações técnicas:</w:t>
      </w:r>
    </w:p>
    <w:p w14:paraId="2A3469F6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Nome: EduCertificate | Símbolo: EDUCERT</w:t>
      </w:r>
    </w:p>
    <w:p w14:paraId="617FE977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tokenId auto-incrementado a partir de 1 (sem ID zero para evitar confusão)</w:t>
      </w:r>
    </w:p>
    <w:p w14:paraId="51546DE1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tokenURI aponta para JSON de metadados armazenado no IPFS</w:t>
      </w:r>
    </w:p>
    <w:p w14:paraId="1512B437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Metadados incluem: nome do aluno, curso concluído, data, hash do diploma</w:t>
      </w:r>
    </w:p>
    <w:p w14:paraId="4A64AB59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Mapeamento ownedTokens[] permite consultar todos os NFTs de um endereço</w:t>
      </w:r>
    </w:p>
    <w:p w14:paraId="185178AF">
      <w:pPr>
        <w:pStyle w:val="34"/>
        <w:numPr>
          <w:ilvl w:val="0"/>
          <w:numId w:val="9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Função mintCertificate() restrita ao owner da plataforma (onlyOwner)</w:t>
      </w:r>
    </w:p>
    <w:p w14:paraId="75B1A17E">
      <w:pPr>
        <w:spacing w:before="40" w:after="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Estrutura dos metadados IPFS (padrão ERC-721 Metadata JSON Schema):</w:t>
      </w:r>
    </w:p>
    <w:p w14:paraId="58489114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"name": "EduCertificate #42",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"description": "Certificado de conclusão do curso Solidity Avançado",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"image": "ipfs://Qm.../certificate_42.png",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"attributes": [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{ "trait_type": "Curso",       "value": "Solidity Avançado" },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{ "trait_type": "Aluno",       "value": "Alanio Ferreira de Lima" },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{ "trait_type": "Conclusão",   "value": "2025-04-01" },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{ "trait_type": "Nota Final",  "value": "9.5" }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]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6527D10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07EEC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4.3 Contrato de Staking — EduStaking</w:t>
      </w:r>
    </w:p>
    <w:p w14:paraId="28D936FA">
      <w:pPr>
        <w:spacing w:before="40" w:after="120"/>
        <w:ind w:firstLine="3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EduStaking é o componente mais complexo do protocolo, integrando dois sistemas externos:</w:t>
      </w:r>
    </w:p>
    <w:p w14:paraId="4E393F94">
      <w:pPr>
        <w:pStyle w:val="34"/>
        <w:numPr>
          <w:ilvl w:val="0"/>
          <w:numId w:val="10"/>
        </w:numPr>
        <w:spacing w:after="60"/>
        <w:ind w:left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EduToken: para receber/devolver tokens EDU do usuário</w:t>
      </w:r>
    </w:p>
    <w:p w14:paraId="728D2970">
      <w:pPr>
        <w:pStyle w:val="34"/>
        <w:numPr>
          <w:ilvl w:val="0"/>
          <w:numId w:val="10"/>
        </w:numPr>
        <w:spacing w:after="60"/>
        <w:ind w:left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Chainlink AggregatorV3Interface: para ajustar a taxa de recompensa em tempo real</w:t>
      </w:r>
    </w:p>
    <w:p w14:paraId="6D89287A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Mecanismo de recompensa:</w:t>
      </w:r>
    </w:p>
    <w:p w14:paraId="20C59A2E">
      <w:pPr>
        <w:pStyle w:val="34"/>
        <w:numPr>
          <w:ilvl w:val="0"/>
          <w:numId w:val="1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Taxa base: 1% ao dia (10 EDU por dia para cada 1.000 EDU em stake)</w:t>
      </w:r>
    </w:p>
    <w:p w14:paraId="1D77A5CB">
      <w:pPr>
        <w:pStyle w:val="34"/>
        <w:numPr>
          <w:ilvl w:val="0"/>
          <w:numId w:val="1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Multiplicador de mercado altista: se ETH/USD &gt; $2.000 (Chainlink), a recompensa sobe 50%</w:t>
      </w:r>
    </w:p>
    <w:p w14:paraId="14C48720">
      <w:pPr>
        <w:pStyle w:val="34"/>
        <w:numPr>
          <w:ilvl w:val="0"/>
          <w:numId w:val="1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Fórmula: reward = (amount × dias × 10 × multiplier) / (1000 × 100)</w:t>
      </w:r>
    </w:p>
    <w:p w14:paraId="705DACDA">
      <w:pPr>
        <w:spacing w:before="40" w:after="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Fórmula de cálculo implementada:</w:t>
      </w:r>
    </w:p>
    <w:p w14:paraId="4D79E805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function _calculateReward(address user) internal view returns (uint256) 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uint256 elapsed    = block.timestamp - info.stakedAt;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uint256 daysPassed = elapsed / SECONDS_PER_DAY;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if (daysPassed == 0) return 0;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(, uint256 multiplier) = _getEthPrice(); // 100 ou 150 (Chainlink)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(info.amount * daysPassed * REWARD_RATE_PER_DAY * multiplier)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/ (RATE_BASE * 100);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283CCE5A">
      <w:pPr>
        <w:spacing w:before="40" w:after="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Proteção anti-staleness do oráculo Chainlink:</w:t>
      </w:r>
    </w:p>
    <w:p w14:paraId="3263FB96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Rejeita dados com mais de 1 hora de atraso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require(answeredInRound &gt;= roundId,          "stale: round not answered");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require(updatedAt &gt;= block.timestamp - 3600, "stale: price too old");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require(answer &gt; 0,                          "invalid: negative price");</w:t>
      </w:r>
    </w:p>
    <w:p w14:paraId="1BCDC4DA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Essa validação tripla previne o uso de preços desatualizados em caso de falha temporária do nó Chainlink, protegendo o protocolo contra manipulação de recompensas.</w:t>
      </w:r>
    </w:p>
    <w:p w14:paraId="2AB5A803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Struct de estado por usuário:</w:t>
      </w:r>
    </w:p>
    <w:p w14:paraId="051DA7EA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struct StakeInfo 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uint256 amount;      // EDU depositados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uint256 stakedAt;    // Timestamp de início (para cálculo de dias)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uint256 rewardDebt;  // Recompensas acumuladas em stakes anteriores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5183CC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2A81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BAA53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4.4 Governança — EduDAO</w:t>
      </w:r>
    </w:p>
    <w:p w14:paraId="2E29EE18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Especificações do mecanismo de governança:</w:t>
      </w:r>
    </w:p>
    <w:p w14:paraId="3DA562D7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Threshold de proposta: 100 EDU (previne spam de propostas)</w:t>
      </w:r>
    </w:p>
    <w:p w14:paraId="13853F14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Poder de voto: saldo EDU do votante no momento do voto</w:t>
      </w:r>
    </w:p>
    <w:p w14:paraId="0168390C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Quorum: mínimo de 1.000 EDU totais votados para validade</w:t>
      </w:r>
    </w:p>
    <w:p w14:paraId="76DA2D46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Prazo: 1 a 30 dias (definido pelo proponente)</w:t>
      </w:r>
    </w:p>
    <w:p w14:paraId="1332C01A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Aprovação: maioria simples de votos favoráveis + quorum atingido</w:t>
      </w:r>
    </w:p>
    <w:p w14:paraId="1D9E24B1">
      <w:pPr>
        <w:pStyle w:val="34"/>
        <w:numPr>
          <w:ilvl w:val="0"/>
          <w:numId w:val="12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Anti-duplo-voto: mapping hasVoted[proposalId][voter] = bool</w:t>
      </w:r>
    </w:p>
    <w:p w14:paraId="025C3E80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Ciclo de vida de uma proposta:</w:t>
      </w:r>
    </w:p>
    <w:p w14:paraId="4445BF3D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Estado 1: CRIADA    → criarProposta(descricao, duracaoDias) [requer ≥100 EDU]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Estado 2: VOTAÇÃO   → votar(id, favor)  [qualquer detentor de EDU, uma vez]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Estado 3: ENCERRADA → deadline expirado (nenhuma ação disponível)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Estado 4: EXECUTADA → executarProposta(id) [qualquer endereço]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→ aprovada  : votosFavor &gt; votosContra &amp;&amp; totalVotos &gt;= QUORUM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→ rejeitada : caso contrário</w:t>
      </w:r>
    </w:p>
    <w:p w14:paraId="60B70DE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C7B71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5. Segurança</w:t>
      </w:r>
    </w:p>
    <w:p w14:paraId="056EEFF5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segurança foi tratada como prioridade máxima no design do EduProtocol. Foram aplicadas as seguintes proteções, alinhadas às melhores práticas do setor (Consensys Smart Contract Best Practices, Trail of Bits, OpenZeppelin):</w:t>
      </w:r>
    </w:p>
    <w:p w14:paraId="7EC20DAA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Proteção contra Reentrancy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[nonReentrant]</w:t>
      </w:r>
    </w:p>
    <w:p w14:paraId="39D6CE75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O modificador nonReentrant (padrão Checks-Effects-Interactions via mutex) é aplicado em todas as funções do EduStaking que transferem tokens: stake(), unstake() e claimReward(). Isso previne o ataque de reentrância que drenou $60M do The DAO em 2016.</w:t>
      </w:r>
    </w:p>
    <w:p w14:paraId="472860FE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Controle de Acesso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[onlyOwner + roles]</w:t>
      </w:r>
    </w:p>
    <w:p w14:paraId="07897F10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O modificador onlyOwner restringe funções administrativas (setStakingContract, mintCertificate, transferOwnership). A função mintReward() aceita apenas o stakingContract cadastrado, impedindo mint arbitrário de EDU.</w:t>
      </w:r>
    </w:p>
    <w:p w14:paraId="3F69BE99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Checks-Effects-Interactions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[Padrão CEI]</w:t>
      </w:r>
    </w:p>
    <w:p w14:paraId="599AAA45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Em unstake(), o estado é zerado (delete stakes[msg.sender]) ANTES das chamadas de transfer e mintReward. Isso garante que mesmo que a chamada de transfer falhe ou seja interceptada, o estado do contrato já está protegido.</w:t>
      </w:r>
    </w:p>
    <w:p w14:paraId="4328CA23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Solidity ^0.8.20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[Overflow seguro]</w:t>
      </w:r>
    </w:p>
    <w:p w14:paraId="09792A92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A versão 0.8.x introduz proteção nativa contra integer overflow/underflow, eliminando a necessidade da biblioteca SafeMath. O uso de unchecked{} é feito somente após verificação explícita de limites com require().</w:t>
      </w:r>
    </w:p>
    <w:p w14:paraId="4899731C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Validação de Input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[require() abrangente]</w:t>
      </w:r>
    </w:p>
    <w:p w14:paraId="4E35755B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Todas as funções externas validam parâmetros antes de qualquer lógica: endereços não-zero, amounts &gt; 0, duracoes dentro de limites, saldos suficientes. Mensagens de erro descritivas facilitam diagnóstico.</w:t>
      </w:r>
    </w:p>
    <w:p w14:paraId="3DAD73CC">
      <w:pPr>
        <w:spacing w:before="12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✔  Anti-staleness Oracle 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[Chainlink freshness]</w:t>
      </w:r>
    </w:p>
    <w:p w14:paraId="0174D78D">
      <w:pPr>
        <w:spacing w:before="4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O preço do Chainlink é validado com três verificações: roundId coerente, updatedAt dentro de 1 hora, e answer positivo. Previne manipulação de recompensas em caso de falha ou atraso do nó oracle.</w:t>
      </w:r>
    </w:p>
    <w:p w14:paraId="7677F74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B54E0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Nota sobre Imutabilidade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Em produção, recomenda-se utilizar o padrão Proxy (UUPS ou Transparent) do OpenZeppelin para permitir correções de segurança pós-deploy, mantendo o endereço do contrato fixo. Para este MVP educacional, contratos não upgradeable foram escolhidos por simplicidade.</w:t>
      </w:r>
    </w:p>
    <w:p w14:paraId="4948DF0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B4643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6. Integração com Oráculo Chainlink</w:t>
      </w:r>
    </w:p>
    <w:p w14:paraId="040D3B0C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EduStaking integra o Chainlink Data Feed ETH/USD para ajustar dinamicamente a taxa de recompensa de staking. Oráculos são fundamentais em DeFi pois a blockchain é um ambiente isolado (determinístico) que não pode acessar dados externos diretamente. O Chainlink resolve isso com uma rede descentralizada de nós que reportam dados de preço de forma segura e com resistência a manipulação.</w:t>
      </w:r>
    </w:p>
    <w:p w14:paraId="4CEBAA69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Detalhes técnicos da integração:</w:t>
      </w:r>
    </w:p>
    <w:p w14:paraId="2EBC38B3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Interface: AggregatorV3Interface — padrão oficial Chainlink</w:t>
      </w:r>
    </w:p>
    <w:p w14:paraId="27848D3C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Endereço no contrato (Sepolia): 0x694AA1769357215DE4FAC081bf1f309aDC325306</w:t>
      </w:r>
    </w:p>
    <w:p w14:paraId="174DEC49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Par de dados: ETH / USD</w:t>
      </w:r>
    </w:p>
    <w:p w14:paraId="3B2D4288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Decimais: 8 (padrão Chainlink para pares USD)</w:t>
      </w:r>
    </w:p>
    <w:p w14:paraId="7C2F95B2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Threshold de bonus: $2.000 USD = 200000000000 (com 8 decimais)</w:t>
      </w:r>
    </w:p>
    <w:p w14:paraId="75F7B856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Frequência de atualização: ~20 segundos (Heartbeat: 1 hora, Deviation: 0.5%)</w:t>
      </w:r>
    </w:p>
    <w:p w14:paraId="51C93C7D">
      <w:pPr>
        <w:spacing w:before="40" w:after="6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Implementação da consulta ao oráculo:</w:t>
      </w:r>
    </w:p>
    <w:p w14:paraId="672835E4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function _getEthPrice() internal view returns (int256 price, uint256 multiplier) {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(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uint80 roundId,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int256 answer,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uint256 updatedAt,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uint80 answeredInRound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) = priceFeed.latestRoundData();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// Validação de integridade dos dados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require(answeredInRound &gt;= roundId,           "Stale: round inconsistency");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require(updatedAt &gt;= block.timestamp - 3600,  "Stale: data older than 1h");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require(answer &gt; 0,                           "Invalid: negative price");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price = answer;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// ETH &gt; $2000: multiplier = 150% (mercado altista = maior incentivo)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// ETH ≤ $2000: multiplier = 100% (taxa base)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multiplier = (answer &gt;= BONUS_PRICE_THRESHOLD) ? BONUS_MULTIPLIER : 100;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04C9BFAA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Exemplo numérico do impacto do oráculo:</w:t>
      </w:r>
    </w:p>
    <w:p w14:paraId="6EDD5042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Alice faz stake de 10.000 EDU por 30 dias</w:t>
      </w:r>
    </w:p>
    <w:p w14:paraId="36996366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Cenário A — ETH = $1.500: reward = (10.000 × 30 × 10 × 100) / (1.000 × 100) = 300 EDU</w:t>
      </w:r>
    </w:p>
    <w:p w14:paraId="3AC73471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Cenário B — ETH = $2.500: reward = (10.000 × 30 × 10 × 150) / (1.000 × 100) = 450 EDU</w:t>
      </w:r>
    </w:p>
    <w:p w14:paraId="2F0D2C4F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Diferença: 150 EDU a mais (+50%) pelo multiplicador Chainlink ativo</w:t>
      </w:r>
    </w:p>
    <w:p w14:paraId="1C222F7C">
      <w:pPr>
        <w:ind w:left="360"/>
        <w:rPr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539226E"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Por que Chainlink e não API3?</w:t>
      </w:r>
      <w:r>
        <w:rPr>
          <w:b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Chainlink foi escolhido por ser o oracle mais battle-tested do ecossistema Ethereum, com mais de $20B em valor segurado. Possui feed ETH/USD disponível na Sepolia Testnet sem necessidade de subscrição adicional. API3 seria uma alternativa válida com modelo de first-party oracles, mas tem menor adoção e cobertura de testnets.</w:t>
      </w:r>
    </w:p>
    <w:p w14:paraId="654F04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90C3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7. Integração Web3 — ethers.js</w:t>
      </w:r>
    </w:p>
    <w:p w14:paraId="08FE150C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script integration.js demonstra a interação completa com o protocolo via ethers.js v6, a biblioteca JavaScript mais utilizada para interação com contratos Ethereum. O script é executado em Node.js e conecta-se à Sepolia via RPC provider.</w:t>
      </w:r>
    </w:p>
    <w:p w14:paraId="1E339913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Configuração e dependências:</w:t>
      </w:r>
    </w:p>
    <w:p w14:paraId="578C18B7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# Instalação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npm install ethers dotenv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# Arquivo .env (nunca commitar!)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PRIVATE_KEY=0xSuaChavePrivadaAqui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SEPOLIA_RPC_URL=https://sepolia.infura.io/v3/SeuProjectId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# Execução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node integration.js</w:t>
      </w:r>
    </w:p>
    <w:p w14:paraId="49F77E4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7.1 Demonstração 1 — Mint de NFT</w:t>
      </w:r>
    </w:p>
    <w:p w14:paraId="302BC53A">
      <w:pPr>
        <w:spacing w:before="40" w:after="120"/>
        <w:ind w:firstLine="432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função demonstrarMintNFT() conecta ao contrato EduNFT e chama mintCertificate(), passando o endereço do aluno e a URI IPFS dos metadados. Após a confirmação da transação, o script decodifica o evento CertificateMinted e exibe o tokenId gerado.</w:t>
      </w:r>
    </w:p>
    <w:p w14:paraId="79C7771E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tx = await eduNFT.mintCertificate(recipient, tokenURI);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receipt = await tx.wait();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Decodifica evento CertificateMinted para obter o tokenId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parsed = iface.parseLog(log);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console.log(`Token ID mintado: #${parsed.args.tokenId}`);</w:t>
      </w:r>
    </w:p>
    <w:p w14:paraId="5046275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7.2 Demonstração 2 — Stake de Tokens</w:t>
      </w:r>
    </w:p>
    <w:p w14:paraId="1235EA0D">
      <w:pPr>
        <w:spacing w:before="40" w:after="120"/>
        <w:ind w:firstLine="432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função demonstrarStaking() executa o fluxo completo de staking: verifica saldo, chama approve() para autorizar o contrato de staking, e então chama stake(). O padrão approve-before-transfer é obrigatório no ERC-20 para delegar gasto.</w:t>
      </w:r>
    </w:p>
    <w:p w14:paraId="0DBF7506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1. Autoriza o contrato de staking a gastar os tokens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await eduToken.approve(ADDRESSES.EduStaking, stakeAmount);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2. Deposita os tokens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await eduStaking.stake(stakeAmount);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3. Consulta recompensa pendente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reward = await eduStaking.pendingReward(wallet.address);</w:t>
      </w:r>
    </w:p>
    <w:p w14:paraId="67645F9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7.3 Demonstração 3 — Votação na DAO</w:t>
      </w:r>
    </w:p>
    <w:p w14:paraId="5FE8A986">
      <w:pPr>
        <w:spacing w:before="40" w:after="120"/>
        <w:ind w:firstLine="432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função demonstrarDAO() cria uma proposta, vota a favor e consulta o estado. O script captura o evento ProposalCreated para obter o ID gerado automaticamente, evitando hardcode de IDs que podem variar entre deploys.</w:t>
      </w:r>
    </w:p>
    <w:p w14:paraId="2B7171E4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tx = await eduDAO.criarProposta(descricao, 7); // 7 dias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Captura ID via evento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parsed = iface.parseLog(log);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const proposalId = parsed.args.proposalId;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// Vota a favor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await eduDAO.votar(proposalId, true); // true = favor</w:t>
      </w:r>
    </w:p>
    <w:p w14:paraId="6FE4462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E52C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7DED9E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8. Deploy em Testnet Sepolia</w:t>
      </w:r>
    </w:p>
    <w:p w14:paraId="28E11C17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deploy foi realizado na testnet Sepolia do Ethereum, rede de testes oficial recomendada pela Ethereum Foundation para desenvolvimento e auditoria de smart contracts. O Remix IDE foi utilizado para compilação e deploy, com MetaMask configurado para Sepolia e saldo de ETH de teste obtido no faucet oficial (sepoliafaucet.com).</w:t>
      </w:r>
    </w:p>
    <w:p w14:paraId="4D929738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Ordem de deploy (dependências entre contratos):</w:t>
      </w:r>
    </w:p>
    <w:p w14:paraId="5226FCCE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1º — EduToken: sem dependências externas</w:t>
      </w:r>
    </w:p>
    <w:p w14:paraId="3BBE04EF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2º — EduNFT: sem dependências externas</w:t>
      </w:r>
    </w:p>
    <w:p w14:paraId="7E50FA25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3º — EduStaking: recebe address(EduToken) e address(ChainlinkFeed) no constructor</w:t>
      </w:r>
    </w:p>
    <w:p w14:paraId="01CD9CE7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4º — EduDAO: recebe address(EduToken) no constructor</w:t>
      </w:r>
    </w:p>
    <w:p w14:paraId="7DF14920">
      <w:pPr>
        <w:pStyle w:val="34"/>
        <w:numPr>
          <w:ilvl w:val="0"/>
          <w:numId w:val="0"/>
        </w:numPr>
        <w:spacing w:after="60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5º — Configuração: EduToken.setStakingContract(address(EduStaking))</w:t>
      </w:r>
    </w:p>
    <w:p w14:paraId="7DB4C735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Endereços deployados na Sepolia Testnet: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3081"/>
        <w:gridCol w:w="3889"/>
      </w:tblGrid>
      <w:tr w14:paraId="6F20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 w:themeFill="background1"/>
          </w:tcPr>
          <w:p w14:paraId="21687CCF">
            <w:pPr>
              <w:spacing w:before="60" w:after="6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Contrato</w:t>
            </w:r>
          </w:p>
        </w:tc>
        <w:tc>
          <w:tcPr>
            <w:tcW w:w="3312" w:type="dxa"/>
            <w:shd w:val="clear" w:color="auto" w:fill="FFFFFF" w:themeFill="background1"/>
          </w:tcPr>
          <w:p w14:paraId="771F8238">
            <w:pPr>
              <w:spacing w:before="60" w:after="6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Endereço (Sepolia)</w:t>
            </w:r>
          </w:p>
        </w:tc>
        <w:tc>
          <w:tcPr>
            <w:tcW w:w="3744" w:type="dxa"/>
            <w:shd w:val="clear" w:color="auto" w:fill="FFFFFF" w:themeFill="background1"/>
          </w:tcPr>
          <w:p w14:paraId="3127F9AF">
            <w:pPr>
              <w:spacing w:before="60" w:after="6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Explorer</w:t>
            </w:r>
          </w:p>
        </w:tc>
      </w:tr>
      <w:tr w14:paraId="7EB5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5F8FC"/>
          </w:tcPr>
          <w:p w14:paraId="6F852787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EduToken (EDU)</w:t>
            </w:r>
          </w:p>
        </w:tc>
        <w:tc>
          <w:tcPr>
            <w:tcW w:w="3312" w:type="dxa"/>
            <w:shd w:val="clear" w:color="auto" w:fill="F5F8FC"/>
          </w:tcPr>
          <w:p w14:paraId="76430915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0x9AB05e712419258670D1082Fb38d441BD1738531</w:t>
            </w:r>
          </w:p>
        </w:tc>
        <w:tc>
          <w:tcPr>
            <w:tcW w:w="3744" w:type="dxa"/>
            <w:shd w:val="clear" w:color="auto" w:fill="F5F8FC"/>
          </w:tcPr>
          <w:p w14:paraId="24F92B04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sepolia.etherscan.io/address/0x9AB05e712419258670D1082Fb38d441BD1738531</w:t>
            </w:r>
          </w:p>
        </w:tc>
      </w:tr>
      <w:tr w14:paraId="3405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678B421B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EduNFT (EDUCERT)</w:t>
            </w:r>
          </w:p>
        </w:tc>
        <w:tc>
          <w:tcPr>
            <w:tcW w:w="3312" w:type="dxa"/>
            <w:shd w:val="clear" w:color="auto" w:fill="FFFFFF"/>
          </w:tcPr>
          <w:p w14:paraId="35E34A1E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0xa65A79a95bA093e5eb46E5CfF84e7D9986AD3190</w:t>
            </w:r>
          </w:p>
        </w:tc>
        <w:tc>
          <w:tcPr>
            <w:tcW w:w="3744" w:type="dxa"/>
            <w:shd w:val="clear" w:color="auto" w:fill="FFFFFF"/>
          </w:tcPr>
          <w:p w14:paraId="69F07D15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sepolia.etherscan.io/address/0xa65A79a95bA093e5eb46E5CfF84e7D9986AD3190</w:t>
            </w:r>
          </w:p>
        </w:tc>
      </w:tr>
      <w:tr w14:paraId="7437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5F8FC"/>
          </w:tcPr>
          <w:p w14:paraId="7F2EFF64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EduStaking</w:t>
            </w:r>
          </w:p>
        </w:tc>
        <w:tc>
          <w:tcPr>
            <w:tcW w:w="3312" w:type="dxa"/>
            <w:shd w:val="clear" w:color="auto" w:fill="F5F8FC"/>
          </w:tcPr>
          <w:p w14:paraId="550E52A9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0x49f7dC8cacC11065B74Be62BF039cdb5e225B6C9</w:t>
            </w:r>
          </w:p>
        </w:tc>
        <w:tc>
          <w:tcPr>
            <w:tcW w:w="3744" w:type="dxa"/>
            <w:shd w:val="clear" w:color="auto" w:fill="F5F8FC"/>
          </w:tcPr>
          <w:p w14:paraId="13C83D9B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sepolia.etherscan.io/address/0x49f7dC8cacC11065B74Be62BF039cdb5e225B6C9</w:t>
            </w:r>
          </w:p>
        </w:tc>
      </w:tr>
      <w:tr w14:paraId="5F9E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510AB909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EduDAO</w:t>
            </w:r>
          </w:p>
        </w:tc>
        <w:tc>
          <w:tcPr>
            <w:tcW w:w="3312" w:type="dxa"/>
            <w:shd w:val="clear" w:color="auto" w:fill="FFFFFF"/>
          </w:tcPr>
          <w:p w14:paraId="36D876F0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0x5319fb3D02587d9b911fe83C70cCeC7DF88282eA</w:t>
            </w:r>
          </w:p>
        </w:tc>
        <w:tc>
          <w:tcPr>
            <w:tcW w:w="3744" w:type="dxa"/>
            <w:shd w:val="clear" w:color="auto" w:fill="FFFFFF"/>
          </w:tcPr>
          <w:p w14:paraId="783A87F0">
            <w:pPr>
              <w:spacing w:before="60" w:after="6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sepolia.etherscan.io/address/0x5319fb3D02587d9b911fe83C70cCeC7DF88282eA</w:t>
            </w:r>
          </w:p>
        </w:tc>
      </w:tr>
    </w:tbl>
    <w:p w14:paraId="2E9C42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2D2C33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Verificação do contrato no Etherscan:</w:t>
      </w:r>
    </w:p>
    <w:p w14:paraId="4C281000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Após o deploy, o código-fonte foi verificado no Sepolia Etherscan via Upload da ABI e do código Solidity. A verificação torna o código legível publicamente, fundamental para auditoria e confiança dos usuários.</w:t>
      </w:r>
    </w:p>
    <w:p w14:paraId="3790C26E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Configurações de compilação para verificação no Etherscan:</w:t>
      </w:r>
    </w:p>
    <w:p w14:paraId="4B6CF5B8">
      <w:pPr>
        <w:shd w:val="clear" w:color="auto" w:fill="EEF2F7"/>
        <w:spacing w:before="80" w:after="80"/>
        <w:ind w:left="43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Compiler Version : v0.8.20+commit.a1b79de6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Optimization     : Enabled (200 runs)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License          : MIT (SPDX-License-Identifier: MIT)</w:t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/>
          <w:color w:val="000000" w:themeColor="text1"/>
          <w:sz w:val="18"/>
          <w14:textFill>
            <w14:solidFill>
              <w14:schemeClr w14:val="tx1"/>
            </w14:solidFill>
          </w14:textFill>
        </w:rPr>
        <w:t>EVM Version      : paris</w:t>
      </w:r>
    </w:p>
    <w:p w14:paraId="1D5825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363E4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A4E897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9. Relatório de Auditoria</w:t>
      </w:r>
    </w:p>
    <w:p w14:paraId="259A822D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auditoria de segurança foi realizada com três ferramentas complementares: Slither (análise estática), Mythril (análise simbólica) e Hardhat (testes unitários). Os achados foram classificados por severidade e cada vulnerabilidade foi tratada.</w:t>
      </w:r>
    </w:p>
    <w:p w14:paraId="23FD7D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2"/>
        <w:gridCol w:w="3066"/>
        <w:gridCol w:w="3091"/>
      </w:tblGrid>
      <w:tr w14:paraId="0F54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1B3A5C"/>
          </w:tcPr>
          <w:p w14:paraId="5D7CDA3F">
            <w:pPr>
              <w:spacing w:before="60" w:after="60" w:line="240" w:lineRule="auto"/>
              <w:jc w:val="center"/>
              <w:rPr>
                <w:color w:val="FDEADA" w:themeColor="accent6" w:themeTint="33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b/>
                <w:color w:val="FDEADA" w:themeColor="accent6" w:themeTint="33"/>
                <w:sz w:val="18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  <w:t>Ferramenta</w:t>
            </w:r>
          </w:p>
        </w:tc>
        <w:tc>
          <w:tcPr>
            <w:tcW w:w="1440" w:type="dxa"/>
            <w:shd w:val="clear" w:color="auto" w:fill="1B3A5C"/>
          </w:tcPr>
          <w:p w14:paraId="25D71108">
            <w:pPr>
              <w:spacing w:before="60" w:after="60" w:line="240" w:lineRule="auto"/>
              <w:jc w:val="center"/>
              <w:rPr>
                <w:color w:val="FDEADA" w:themeColor="accent6" w:themeTint="33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b/>
                <w:color w:val="FDEADA" w:themeColor="accent6" w:themeTint="33"/>
                <w:sz w:val="18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  <w:t>Severidade</w:t>
            </w:r>
          </w:p>
        </w:tc>
        <w:tc>
          <w:tcPr>
            <w:tcW w:w="3168" w:type="dxa"/>
            <w:shd w:val="clear" w:color="auto" w:fill="1B3A5C"/>
          </w:tcPr>
          <w:p w14:paraId="50D6C34F">
            <w:pPr>
              <w:spacing w:before="60" w:after="60" w:line="240" w:lineRule="auto"/>
              <w:jc w:val="center"/>
              <w:rPr>
                <w:color w:val="FDEADA" w:themeColor="accent6" w:themeTint="33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b/>
                <w:color w:val="FDEADA" w:themeColor="accent6" w:themeTint="33"/>
                <w:sz w:val="18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  <w:t>Achado</w:t>
            </w:r>
          </w:p>
        </w:tc>
        <w:tc>
          <w:tcPr>
            <w:tcW w:w="3168" w:type="dxa"/>
            <w:shd w:val="clear" w:color="auto" w:fill="1B3A5C"/>
          </w:tcPr>
          <w:p w14:paraId="39D267FB">
            <w:pPr>
              <w:spacing w:before="60" w:after="60" w:line="240" w:lineRule="auto"/>
              <w:jc w:val="center"/>
              <w:rPr>
                <w:color w:val="FDEADA" w:themeColor="accent6" w:themeTint="33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b/>
                <w:color w:val="FDEADA" w:themeColor="accent6" w:themeTint="33"/>
                <w:sz w:val="18"/>
                <w14:textFill>
                  <w14:solidFill>
                    <w14:schemeClr w14:val="accent6">
                      <w14:lumMod w14:val="20000"/>
                      <w14:lumOff w14:val="80000"/>
                    </w14:schemeClr>
                  </w14:solidFill>
                </w14:textFill>
              </w:rPr>
              <w:t>Mitigação Aplicada</w:t>
            </w:r>
          </w:p>
        </w:tc>
      </w:tr>
      <w:tr w14:paraId="6CF3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9F9F9"/>
          </w:tcPr>
          <w:p w14:paraId="38673FB8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Slither</w:t>
            </w:r>
          </w:p>
        </w:tc>
        <w:tc>
          <w:tcPr>
            <w:tcW w:w="1440" w:type="dxa"/>
            <w:shd w:val="clear" w:color="auto" w:fill="D6E4F0"/>
          </w:tcPr>
          <w:p w14:paraId="44AEC1A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Informativo</w:t>
            </w:r>
          </w:p>
        </w:tc>
        <w:tc>
          <w:tcPr>
            <w:tcW w:w="3168" w:type="dxa"/>
            <w:shd w:val="clear" w:color="auto" w:fill="F9F9F9"/>
          </w:tcPr>
          <w:p w14:paraId="2336C9B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Funções externas poderiam ser public</w:t>
            </w:r>
          </w:p>
        </w:tc>
        <w:tc>
          <w:tcPr>
            <w:tcW w:w="3168" w:type="dxa"/>
            <w:shd w:val="clear" w:color="auto" w:fill="F9F9F9"/>
          </w:tcPr>
          <w:p w14:paraId="6D51078B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Mantidas como external intencionalmente: menor custo de gas e semântica mais clara.</w:t>
            </w:r>
          </w:p>
        </w:tc>
      </w:tr>
      <w:tr w14:paraId="12E9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FFFFF"/>
          </w:tcPr>
          <w:p w14:paraId="56E9C41F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Slither</w:t>
            </w:r>
          </w:p>
        </w:tc>
        <w:tc>
          <w:tcPr>
            <w:tcW w:w="1440" w:type="dxa"/>
            <w:shd w:val="clear" w:color="auto" w:fill="FFF3CD"/>
          </w:tcPr>
          <w:p w14:paraId="6FC2DC40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Baixa</w:t>
            </w:r>
          </w:p>
        </w:tc>
        <w:tc>
          <w:tcPr>
            <w:tcW w:w="3168" w:type="dxa"/>
            <w:shd w:val="clear" w:color="auto" w:fill="FFFFFF"/>
          </w:tcPr>
          <w:p w14:paraId="347CF6DB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Variável rewardDebt nunca decrementada diretamente</w:t>
            </w:r>
          </w:p>
        </w:tc>
        <w:tc>
          <w:tcPr>
            <w:tcW w:w="3168" w:type="dxa"/>
            <w:shd w:val="clear" w:color="auto" w:fill="FFFFFF"/>
          </w:tcPr>
          <w:p w14:paraId="288AD95B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Comportamento correto: rewardDebt é zerado explicitamente em claimReward() e unstake() via delete.</w:t>
            </w:r>
          </w:p>
        </w:tc>
      </w:tr>
      <w:tr w14:paraId="53F5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9F9F9"/>
          </w:tcPr>
          <w:p w14:paraId="6CA98F8E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Slither</w:t>
            </w:r>
          </w:p>
        </w:tc>
        <w:tc>
          <w:tcPr>
            <w:tcW w:w="1440" w:type="dxa"/>
            <w:shd w:val="clear" w:color="auto" w:fill="D6E4F0"/>
          </w:tcPr>
          <w:p w14:paraId="70BF99D1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Informativo</w:t>
            </w:r>
          </w:p>
        </w:tc>
        <w:tc>
          <w:tcPr>
            <w:tcW w:w="3168" w:type="dxa"/>
            <w:shd w:val="clear" w:color="auto" w:fill="F9F9F9"/>
          </w:tcPr>
          <w:p w14:paraId="4E1795C6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Evento emitido antes da validação em votação</w:t>
            </w:r>
          </w:p>
        </w:tc>
        <w:tc>
          <w:tcPr>
            <w:tcW w:w="3168" w:type="dxa"/>
            <w:shd w:val="clear" w:color="auto" w:fill="F9F9F9"/>
          </w:tcPr>
          <w:p w14:paraId="40AC9AD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Corrigido: emit VoteCast() movido para após todas as validações.</w:t>
            </w:r>
          </w:p>
        </w:tc>
      </w:tr>
      <w:tr w14:paraId="4D77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FFFFF"/>
          </w:tcPr>
          <w:p w14:paraId="1D92AE44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Mythril</w:t>
            </w:r>
          </w:p>
        </w:tc>
        <w:tc>
          <w:tcPr>
            <w:tcW w:w="1440" w:type="dxa"/>
            <w:shd w:val="clear" w:color="auto" w:fill="D4EDDA"/>
          </w:tcPr>
          <w:p w14:paraId="5B5C036A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Nenhum Crítico</w:t>
            </w:r>
          </w:p>
        </w:tc>
        <w:tc>
          <w:tcPr>
            <w:tcW w:w="3168" w:type="dxa"/>
            <w:shd w:val="clear" w:color="auto" w:fill="FFFFFF"/>
          </w:tcPr>
          <w:p w14:paraId="407526F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Análise simbólica não detectou reentrancy</w:t>
            </w:r>
          </w:p>
        </w:tc>
        <w:tc>
          <w:tcPr>
            <w:tcW w:w="3168" w:type="dxa"/>
            <w:shd w:val="clear" w:color="auto" w:fill="FFFFFF"/>
          </w:tcPr>
          <w:p w14:paraId="4CE2C0DE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ReentrancyGuard + CEI pattern aplicados corretamente em todas as funções de transferência.</w:t>
            </w:r>
          </w:p>
        </w:tc>
      </w:tr>
      <w:tr w14:paraId="009D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9F9F9"/>
          </w:tcPr>
          <w:p w14:paraId="2993620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Mythril</w:t>
            </w:r>
          </w:p>
        </w:tc>
        <w:tc>
          <w:tcPr>
            <w:tcW w:w="1440" w:type="dxa"/>
            <w:shd w:val="clear" w:color="auto" w:fill="FFF3CD"/>
          </w:tcPr>
          <w:p w14:paraId="2548648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Baixa</w:t>
            </w:r>
          </w:p>
        </w:tc>
        <w:tc>
          <w:tcPr>
            <w:tcW w:w="3168" w:type="dxa"/>
            <w:shd w:val="clear" w:color="auto" w:fill="F9F9F9"/>
          </w:tcPr>
          <w:p w14:paraId="30094F8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Integer overflow possível em cálculo de recompensa</w:t>
            </w:r>
          </w:p>
        </w:tc>
        <w:tc>
          <w:tcPr>
            <w:tcW w:w="3168" w:type="dxa"/>
            <w:shd w:val="clear" w:color="auto" w:fill="F9F9F9"/>
          </w:tcPr>
          <w:p w14:paraId="47DD110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Solidity ^0.8.x possui overflow check nativo. Valores realistas não atingem uint256 max.</w:t>
            </w:r>
          </w:p>
        </w:tc>
      </w:tr>
      <w:tr w14:paraId="0E0C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FFFFF"/>
          </w:tcPr>
          <w:p w14:paraId="4244F9C4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Hardhat</w:t>
            </w:r>
          </w:p>
        </w:tc>
        <w:tc>
          <w:tcPr>
            <w:tcW w:w="1440" w:type="dxa"/>
            <w:shd w:val="clear" w:color="auto" w:fill="D4EDDA"/>
          </w:tcPr>
          <w:p w14:paraId="6B9BE07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Nenhum</w:t>
            </w:r>
          </w:p>
        </w:tc>
        <w:tc>
          <w:tcPr>
            <w:tcW w:w="3168" w:type="dxa"/>
            <w:shd w:val="clear" w:color="auto" w:fill="FFFFFF"/>
          </w:tcPr>
          <w:p w14:paraId="5C58982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Todos os testes unitários passaram</w:t>
            </w:r>
          </w:p>
        </w:tc>
        <w:tc>
          <w:tcPr>
            <w:tcW w:w="3168" w:type="dxa"/>
            <w:shd w:val="clear" w:color="auto" w:fill="FFFFFF"/>
          </w:tcPr>
          <w:p w14:paraId="03A8E3A1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Cobertura: stake/unstake/claim, mint NFT, criação e votação DAO, consulta oracle.</w:t>
            </w:r>
          </w:p>
        </w:tc>
      </w:tr>
    </w:tbl>
    <w:p w14:paraId="1CFC73C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4B8DD8"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Resultado da Auditoria</w:t>
      </w:r>
      <w:r>
        <w:rPr>
          <w:b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Nenhuma vulnerabilidade crítica ou de alta severidade foi encontrada. Todos os achados de baixa severidade e informativos foram revisados e tratados. O contrato está apto para uso em testnet e pode prosseguir para auditoria profissional (ex: Certik, Trail of Bits) antes de eventual deploy em mainnet.</w:t>
      </w:r>
    </w:p>
    <w:p w14:paraId="5D753B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85FE04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2DE8AA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10. Conclusão</w:t>
      </w:r>
    </w:p>
    <w:p w14:paraId="3E2EA7AF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EduProtocol demonstrou com sucesso a construção de um MVP completo de protocolo Web3 descentralizado, integrando os cinco componentes técnicos exigidos pela atividade: token ERC-20, NFT ERC-721, contrato de staking com oráculo, mecanismo de governança e integração com backend Web3 via ethers.js.</w:t>
      </w:r>
    </w:p>
    <w:p w14:paraId="22207712">
      <w:pPr>
        <w:spacing w:before="40" w:after="120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protocolo resolve um problema real do mercado educacional: a centralização e vulnerabilidade dos certificados digitais. Com NFTs imutáveis na blockchain Ethereum, tokens de incentivo e governança participativa, o EduProtocol representa um modelo viável para plataformas educacionais da próxima geração.</w:t>
      </w:r>
    </w:p>
    <w:p w14:paraId="6623DA89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Principais conquistas técnicas do projeto:</w:t>
      </w:r>
    </w:p>
    <w:p w14:paraId="219B8301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Implementação ERC-20 e ERC-721 completas sem dependências externas, compatíveis com OpenZeppelin.</w:t>
      </w:r>
    </w:p>
    <w:p w14:paraId="309BC70E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Integração real com Chainlink AggregatorV3Interface com validação anti-staleness robusta.</w:t>
      </w:r>
    </w:p>
    <w:p w14:paraId="640EFAB1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Proteção multicamada contra reentrância: ReentrancyGuard + padrão CEI rigoroso.</w:t>
      </w:r>
    </w:p>
    <w:p w14:paraId="60E8DB66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Sistema de governança funcional com quorum, threshold e prevenção de duplo voto.</w:t>
      </w:r>
    </w:p>
    <w:p w14:paraId="0AF7100C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Script ethers.js cobrindo os três fluxos principais: mint, staking e votação.</w:t>
      </w:r>
    </w:p>
    <w:p w14:paraId="55BF2EDD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Deploy e verificação na Sepolia Testnet com endereços públicos e código verificado.</w:t>
      </w:r>
    </w:p>
    <w:p w14:paraId="391E9FE9">
      <w:pPr>
        <w:spacing w:before="40" w:after="1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Próximos passos para produção:</w:t>
      </w:r>
    </w:p>
    <w:p w14:paraId="49EB87E0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Migrar para padrão Governor do OpenZeppelin com timelock e snapshot de bloco para governança mais robusta.</w:t>
      </w:r>
    </w:p>
    <w:p w14:paraId="7756111D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Implementar padrão Proxy UUPS para upgradeabilidade sem perda de endereço.</w:t>
      </w:r>
    </w:p>
    <w:p w14:paraId="1B3C9A21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Auditoria profissional por firma especializada (Certik, Trail of Bits, OpenZeppelin).</w:t>
      </w:r>
    </w:p>
    <w:p w14:paraId="2D85D3FD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Frontend React completo com wagmi + rainbowkit para experiência de usuário fluida.</w:t>
      </w:r>
    </w:p>
    <w:p w14:paraId="249D44DF">
      <w:pPr>
        <w:pStyle w:val="34"/>
        <w:numPr>
          <w:ilvl w:val="0"/>
          <w:numId w:val="13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Integração com IPFS (Pinata/NFT.Storage) para armazenamento descentralizado de metadados.</w:t>
      </w:r>
    </w:p>
    <w:p w14:paraId="42EFCBB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EB75C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789146"/>
      <w:docPartObj>
        <w:docPartGallery w:val="AutoText"/>
      </w:docPartObj>
    </w:sdtPr>
    <w:sdtContent>
      <w:p w14:paraId="05AF03A1">
        <w:pPr>
          <w:pStyle w:val="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pt-BR"/>
          </w:rPr>
          <w:t>13</w:t>
        </w:r>
        <w:r>
          <w:fldChar w:fldCharType="end"/>
        </w:r>
      </w:p>
    </w:sdtContent>
  </w:sdt>
  <w:p w14:paraId="6A1A6C02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7B83340"/>
    <w:multiLevelType w:val="multilevel"/>
    <w:tmpl w:val="17B8334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55B7C"/>
    <w:multiLevelType w:val="multilevel"/>
    <w:tmpl w:val="2E355B7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B0C7B02"/>
    <w:multiLevelType w:val="multilevel"/>
    <w:tmpl w:val="3B0C7B0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724D"/>
    <w:multiLevelType w:val="multilevel"/>
    <w:tmpl w:val="43A2724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121141"/>
    <w:multiLevelType w:val="multilevel"/>
    <w:tmpl w:val="6212114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957481"/>
    <w:multiLevelType w:val="multilevel"/>
    <w:tmpl w:val="6895748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490F9E"/>
    <w:multiLevelType w:val="multilevel"/>
    <w:tmpl w:val="77490F9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11"/>
  </w:num>
  <w:num w:numId="8">
    <w:abstractNumId w:val="8"/>
  </w:num>
  <w:num w:numId="9">
    <w:abstractNumId w:val="6"/>
  </w:num>
  <w:num w:numId="10">
    <w:abstractNumId w:val="12"/>
  </w:num>
  <w:num w:numId="11">
    <w:abstractNumId w:val="7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897"/>
    <w:rsid w:val="0015074B"/>
    <w:rsid w:val="0029639D"/>
    <w:rsid w:val="00326F90"/>
    <w:rsid w:val="003A5A7D"/>
    <w:rsid w:val="0066664D"/>
    <w:rsid w:val="00A46646"/>
    <w:rsid w:val="00A64D99"/>
    <w:rsid w:val="00AA1D8D"/>
    <w:rsid w:val="00B47730"/>
    <w:rsid w:val="00CB0664"/>
    <w:rsid w:val="00FC693F"/>
    <w:rsid w:val="762B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Cabeçalho Char"/>
    <w:basedOn w:val="11"/>
    <w:link w:val="25"/>
    <w:qFormat/>
    <w:uiPriority w:val="99"/>
  </w:style>
  <w:style w:type="character" w:customStyle="1" w:styleId="38">
    <w:name w:val="Rodapé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Corpo de texto Char"/>
    <w:basedOn w:val="11"/>
    <w:link w:val="16"/>
    <w:uiPriority w:val="99"/>
  </w:style>
  <w:style w:type="character" w:customStyle="1" w:styleId="47">
    <w:name w:val="Corpo de texto 2 Char"/>
    <w:basedOn w:val="11"/>
    <w:link w:val="24"/>
    <w:uiPriority w:val="99"/>
  </w:style>
  <w:style w:type="character" w:customStyle="1" w:styleId="48">
    <w:name w:val="Corpo de texto 3 Char"/>
    <w:basedOn w:val="11"/>
    <w:link w:val="22"/>
    <w:uiPriority w:val="99"/>
    <w:rPr>
      <w:sz w:val="16"/>
      <w:szCs w:val="16"/>
    </w:rPr>
  </w:style>
  <w:style w:type="character" w:customStyle="1" w:styleId="49">
    <w:name w:val="Texto de macro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ção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ção Intensa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FD438D-EAA4-4D0D-9446-784D15D451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478</Words>
  <Characters>4384</Characters>
  <Lines>151</Lines>
  <Paragraphs>43</Paragraphs>
  <TotalTime>61</TotalTime>
  <ScaleCrop>false</ScaleCrop>
  <LinksUpToDate>false</LinksUpToDate>
  <CharactersWithSpaces>4820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allan</cp:lastModifiedBy>
  <cp:lastPrinted>2026-04-28T02:08:00Z</cp:lastPrinted>
  <dcterms:modified xsi:type="dcterms:W3CDTF">2026-04-28T02:57:17Z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eyJoZGlkIjoiOGVlNjAxNjhkNzY1NDIzYmVkOTQxZGM2YWZiZjU1OWQiLCJ1c2VySWQiOiIxMjU0NTE4ODY2MTU5In0=</vt:lpwstr>
  </property>
  <property fmtid="{D5CDD505-2E9C-101B-9397-08002B2CF9AE}" pid="3" name="KSOProductBuildVer">
    <vt:lpwstr>1046-12.1.0.25862</vt:lpwstr>
  </property>
  <property fmtid="{D5CDD505-2E9C-101B-9397-08002B2CF9AE}" pid="4" name="ICV">
    <vt:lpwstr>512D12F48F90429FB101530744CF439F_12</vt:lpwstr>
  </property>
</Properties>
</file>