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Privacy, Surveillance and Data Governance in AI</w:t>
      </w:r>
    </w:p>
    <w:p>
      <w:r>
        <w:t>1. Data collection at scale</w:t>
        <w:br/>
        <w:t>Modern AI systems depend on large datasets that often contain personal information scraped or inferred without meaningful consent. Large language models can memorize and regurgitate fragments of training data, including names and contact details. Re-identification attacks show that supposedly anonymized datasets can often be linked back to individuals.</w:t>
      </w:r>
    </w:p>
    <w:p>
      <w:r>
        <w:t>2. Surveillance</w:t>
        <w:br/>
        <w:t>Facial recognition, emotion detection and behavioural tracking enable mass surveillance. Deployed in public spaces or workplaces, these tools chill free expression and association. Many jurisdictions now restrict real-time remote biometric identification, allowing narrow exceptions only for serious crimes.</w:t>
      </w:r>
    </w:p>
    <w:p>
      <w:r>
        <w:t>3. Governance practices</w:t>
        <w:br/>
        <w:t>Recommended practices include data minimization (collect only what is necessary), purpose limitation, privacy-by-design, differential privacy, and clear retention limits. The GDPR grants individuals rights of access, correction and erasure, and restricts solely automated decisions with significant effects on people. Organizations should run data protection impact assessments before launching high-risk AI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