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282FE9" w:rsidRDefault="00DA6B84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3168ED" w:rsidRPr="006B27D2" w:rsidRDefault="003168ED" w:rsidP="003168ED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3.3.1</w:t>
      </w:r>
      <w:r w:rsidRPr="00A926F4">
        <w:rPr>
          <w:rFonts w:hint="eastAsia"/>
          <w:color w:val="000000" w:themeColor="text1"/>
        </w:rPr>
        <w:t>节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157240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3.4.3.2 </w:t>
      </w:r>
      <w:r w:rsidRPr="00A926F4">
        <w:rPr>
          <w:rFonts w:hint="eastAsia"/>
          <w:color w:val="000000" w:themeColor="text1"/>
        </w:rPr>
        <w:t>节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562304" w:rsidRPr="00A926F4" w:rsidRDefault="00D462CD" w:rsidP="00D462C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 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</w:t>
      </w:r>
      <w:r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Default="00562304">
      <w:pPr>
        <w:rPr>
          <w:color w:val="000000" w:themeColor="text1"/>
        </w:rPr>
      </w:pPr>
    </w:p>
    <w:p w:rsidR="00384E93" w:rsidRPr="00A926F4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lastRenderedPageBreak/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x</w:t>
      </w: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是小写</w:t>
      </w: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CB1909" w:rsidRPr="00A926F4" w:rsidRDefault="00CB1909" w:rsidP="00BF43B4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3.4.3.3</w:t>
      </w:r>
      <w:r w:rsidRPr="00A926F4">
        <w:rPr>
          <w:rFonts w:hint="eastAsia"/>
          <w:color w:val="000000" w:themeColor="text1"/>
        </w:rPr>
        <w:t>节</w:t>
      </w: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703B4D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703B4D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  <w:bookmarkStart w:id="0" w:name="_GoBack"/>
      <w:bookmarkEnd w:id="0"/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4D" w:rsidRDefault="00703B4D" w:rsidP="00254A4A">
      <w:r>
        <w:separator/>
      </w:r>
    </w:p>
  </w:endnote>
  <w:endnote w:type="continuationSeparator" w:id="0">
    <w:p w:rsidR="00703B4D" w:rsidRDefault="00703B4D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4D" w:rsidRDefault="00703B4D" w:rsidP="00254A4A">
      <w:r>
        <w:separator/>
      </w:r>
    </w:p>
  </w:footnote>
  <w:footnote w:type="continuationSeparator" w:id="0">
    <w:p w:rsidR="00703B4D" w:rsidRDefault="00703B4D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578DD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87FC9"/>
    <w:rsid w:val="00194E83"/>
    <w:rsid w:val="001C776E"/>
    <w:rsid w:val="001D139A"/>
    <w:rsid w:val="00211D0E"/>
    <w:rsid w:val="0021333A"/>
    <w:rsid w:val="0022249D"/>
    <w:rsid w:val="00227C4E"/>
    <w:rsid w:val="0024420A"/>
    <w:rsid w:val="0024700A"/>
    <w:rsid w:val="00252B77"/>
    <w:rsid w:val="00254A4A"/>
    <w:rsid w:val="00254FE1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7172"/>
    <w:rsid w:val="004207E1"/>
    <w:rsid w:val="00423AFA"/>
    <w:rsid w:val="00465DA4"/>
    <w:rsid w:val="004B1DD1"/>
    <w:rsid w:val="004C6B76"/>
    <w:rsid w:val="004E29CC"/>
    <w:rsid w:val="004F05FB"/>
    <w:rsid w:val="00532E6D"/>
    <w:rsid w:val="00553267"/>
    <w:rsid w:val="00555B82"/>
    <w:rsid w:val="00562304"/>
    <w:rsid w:val="00564D58"/>
    <w:rsid w:val="00575541"/>
    <w:rsid w:val="00586FD7"/>
    <w:rsid w:val="00683DFF"/>
    <w:rsid w:val="00694E0B"/>
    <w:rsid w:val="006A6D82"/>
    <w:rsid w:val="006B27D2"/>
    <w:rsid w:val="006E0398"/>
    <w:rsid w:val="00701AE1"/>
    <w:rsid w:val="007030FE"/>
    <w:rsid w:val="00703B4D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15488"/>
    <w:rsid w:val="00866308"/>
    <w:rsid w:val="008A2A22"/>
    <w:rsid w:val="008B4DE5"/>
    <w:rsid w:val="008E0D79"/>
    <w:rsid w:val="008F5A5D"/>
    <w:rsid w:val="00905C1F"/>
    <w:rsid w:val="00953AEA"/>
    <w:rsid w:val="00954704"/>
    <w:rsid w:val="00962702"/>
    <w:rsid w:val="00963825"/>
    <w:rsid w:val="0098148C"/>
    <w:rsid w:val="009937E0"/>
    <w:rsid w:val="009E1634"/>
    <w:rsid w:val="00A413C1"/>
    <w:rsid w:val="00A45C86"/>
    <w:rsid w:val="00A51C45"/>
    <w:rsid w:val="00A86DCE"/>
    <w:rsid w:val="00A926F4"/>
    <w:rsid w:val="00A96C64"/>
    <w:rsid w:val="00AA1FFE"/>
    <w:rsid w:val="00AA5F65"/>
    <w:rsid w:val="00AB0987"/>
    <w:rsid w:val="00AC7FD1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C073E2"/>
    <w:rsid w:val="00C2056F"/>
    <w:rsid w:val="00C26F09"/>
    <w:rsid w:val="00C626DD"/>
    <w:rsid w:val="00CA65DE"/>
    <w:rsid w:val="00CB1909"/>
    <w:rsid w:val="00CB4C6E"/>
    <w:rsid w:val="00CF41D8"/>
    <w:rsid w:val="00CF5B31"/>
    <w:rsid w:val="00CF73A5"/>
    <w:rsid w:val="00CF7B26"/>
    <w:rsid w:val="00D462CD"/>
    <w:rsid w:val="00D82260"/>
    <w:rsid w:val="00D86664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90BB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5</Pages>
  <Words>475</Words>
  <Characters>2709</Characters>
  <Application>Microsoft Office Word</Application>
  <DocSecurity>0</DocSecurity>
  <Lines>22</Lines>
  <Paragraphs>6</Paragraphs>
  <ScaleCrop>false</ScaleCrop>
  <Company>Microsoft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141</cp:revision>
  <dcterms:created xsi:type="dcterms:W3CDTF">2020-10-13T14:27:00Z</dcterms:created>
  <dcterms:modified xsi:type="dcterms:W3CDTF">2021-07-12T03:38:00Z</dcterms:modified>
</cp:coreProperties>
</file>