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eastAsia="微軟正黑體"/>
          <w:b/>
          <w:color w:val="1F3A5F"/>
          <w:sz w:val="38"/>
        </w:rPr>
        <w:t>南亞塑膠 大里廠　標案規格比對說明書</w:t>
      </w:r>
    </w:p>
    <w:p>
      <w:pPr>
        <w:spacing w:after="320"/>
        <w:jc w:val="center"/>
      </w:pPr>
      <w:r>
        <w:rPr>
          <w:rFonts w:ascii="微軟正黑體" w:hAnsi="微軟正黑體" w:eastAsia="微軟正黑體"/>
          <w:sz w:val="25"/>
        </w:rPr>
        <w:t>第 2 大項（系統功能）與第 4 大項（能源管理系統軟體規格）</w:t>
      </w:r>
    </w:p>
    <w:tbl>
      <w:tblPr>
        <w:tblStyle w:val="TableGrid"/>
        <w:tblW w:type="auto" w:w="0"/>
        <w:jc w:val="center"/>
        <w:tblLook w:firstColumn="1" w:firstRow="1" w:lastColumn="0" w:lastRow="0" w:noHBand="0" w:noVBand="1" w:val="04A0"/>
      </w:tblPr>
      <w:tblGrid>
        <w:gridCol w:w="1474"/>
        <w:gridCol w:w="7597"/>
      </w:tblGrid>
      <w:tr>
        <w:tc>
          <w:tcPr>
            <w:tcW w:type="dxa" w:w="1474"/>
            <w:shd w:val="clear" w:color="auto" w:fill="EDF2F7"/>
          </w:tcPr>
          <w:p>
            <w:pPr>
              <w:spacing w:after="0" w:line="276" w:lineRule="auto"/>
            </w:pPr>
            <w:r/>
            <w:r>
              <w:rPr>
                <w:rFonts w:ascii="微軟正黑體" w:hAnsi="微軟正黑體" w:eastAsia="微軟正黑體"/>
                <w:b/>
                <w:sz w:val="20"/>
              </w:rPr>
              <w:t>比對基準</w:t>
            </w:r>
          </w:p>
        </w:tc>
        <w:tc>
          <w:tcPr>
            <w:tcW w:type="dxa" w:w="7597"/>
          </w:tcPr>
          <w:p>
            <w:pPr>
              <w:spacing w:after="0" w:line="276" w:lineRule="auto"/>
            </w:pPr>
            <w:r/>
            <w:r>
              <w:rPr>
                <w:rFonts w:ascii="微軟正黑體" w:hAnsi="微軟正黑體" w:eastAsia="微軟正黑體"/>
                <w:b w:val="0"/>
                <w:sz w:val="20"/>
              </w:rPr>
              <w:t>標案規格書第 2、第 4 大項條文，逐條對照本系統現有功能</w:t>
            </w:r>
          </w:p>
        </w:tc>
      </w:tr>
      <w:tr>
        <w:tc>
          <w:tcPr>
            <w:tcW w:type="dxa" w:w="1474"/>
            <w:shd w:val="clear" w:color="auto" w:fill="EDF2F7"/>
          </w:tcPr>
          <w:p>
            <w:pPr>
              <w:spacing w:after="0" w:line="276" w:lineRule="auto"/>
            </w:pPr>
            <w:r/>
            <w:r>
              <w:rPr>
                <w:rFonts w:ascii="微軟正黑體" w:hAnsi="微軟正黑體" w:eastAsia="微軟正黑體"/>
                <w:b/>
                <w:sz w:val="20"/>
              </w:rPr>
              <w:t>比對日期</w:t>
            </w:r>
          </w:p>
        </w:tc>
        <w:tc>
          <w:tcPr>
            <w:tcW w:type="dxa" w:w="7597"/>
          </w:tcPr>
          <w:p>
            <w:pPr>
              <w:spacing w:after="0" w:line="276" w:lineRule="auto"/>
            </w:pPr>
            <w:r/>
            <w:r>
              <w:rPr>
                <w:rFonts w:ascii="微軟正黑體" w:hAnsi="微軟正黑體" w:eastAsia="微軟正黑體"/>
                <w:b w:val="0"/>
                <w:sz w:val="20"/>
              </w:rPr>
              <w:t>2026 年 9 月 29 日</w:t>
            </w:r>
          </w:p>
        </w:tc>
      </w:tr>
      <w:tr>
        <w:tc>
          <w:tcPr>
            <w:tcW w:type="dxa" w:w="1474"/>
            <w:shd w:val="clear" w:color="auto" w:fill="EDF2F7"/>
          </w:tcPr>
          <w:p>
            <w:pPr>
              <w:spacing w:after="0" w:line="276" w:lineRule="auto"/>
            </w:pPr>
            <w:r/>
            <w:r>
              <w:rPr>
                <w:rFonts w:ascii="微軟正黑體" w:hAnsi="微軟正黑體" w:eastAsia="微軟正黑體"/>
                <w:b/>
                <w:sz w:val="20"/>
              </w:rPr>
              <w:t>比對結果</w:t>
            </w:r>
          </w:p>
        </w:tc>
        <w:tc>
          <w:tcPr>
            <w:tcW w:type="dxa" w:w="7597"/>
          </w:tcPr>
          <w:p>
            <w:pPr>
              <w:spacing w:after="0" w:line="276" w:lineRule="auto"/>
            </w:pPr>
            <w:r/>
            <w:r>
              <w:rPr>
                <w:rFonts w:ascii="微軟正黑體" w:hAnsi="微軟正黑體" w:eastAsia="微軟正黑體"/>
                <w:b w:val="0"/>
                <w:sz w:val="20"/>
              </w:rPr>
              <w:t>共 41 條：符合 14 條、部分符合 27 條、不符合 0 條</w:t>
            </w:r>
          </w:p>
        </w:tc>
      </w:tr>
    </w:tbl>
    <w:p/>
    <w:p>
      <w:pPr>
        <w:pStyle w:val="Heading1"/>
      </w:pPr>
      <w:r>
        <w:t>一、判定原則</w:t>
      </w:r>
    </w:p>
    <w:p>
      <w:pPr>
        <w:pStyle w:val="ListBullet"/>
        <w:spacing w:after="40"/>
        <w:ind w:left="425"/>
      </w:pPr>
      <w:r>
        <w:t>符合：現有功能可直接滿足規格所要求的內容。</w:t>
      </w:r>
    </w:p>
    <w:p>
      <w:pPr>
        <w:pStyle w:val="ListBullet"/>
        <w:spacing w:after="40"/>
        <w:ind w:left="425"/>
      </w:pPr>
      <w:r>
        <w:t>部分符合：主要能力已具備，但個別子項缺漏，或需以等效替代方式、現場設定的方式達成。</w:t>
      </w:r>
    </w:p>
    <w:p>
      <w:pPr>
        <w:pStyle w:val="ListBullet"/>
        <w:spacing w:after="40"/>
        <w:ind w:left="425"/>
      </w:pPr>
      <w:r>
        <w:t>不符合：目前無此功能，須另行開發或無法達成。</w:t>
      </w:r>
    </w:p>
    <w:p>
      <w:pPr>
        <w:spacing w:after="200"/>
      </w:pPr>
      <w:r>
        <w:rPr>
          <w:b w:val="0"/>
          <w:i w:val="0"/>
        </w:rPr>
        <w:t>硬體加裝類項目（電錶、流量計、傳感器等）僅就「軟體平台能否接入並呈現」判定，硬體施工本身不在本比對範圍。</w:t>
      </w:r>
    </w:p>
    <w:p>
      <w:pPr>
        <w:pStyle w:val="Heading1"/>
      </w:pPr>
      <w:r>
        <w:t>二、比對結果總覽</w:t>
      </w:r>
    </w:p>
    <w:tbl>
      <w:tblPr>
        <w:tblStyle w:val="TableGrid"/>
        <w:tblW w:type="auto" w:w="0"/>
        <w:tblLook w:firstColumn="1" w:firstRow="1" w:lastColumn="0" w:lastRow="0" w:noHBand="0" w:noVBand="1" w:val="04A0"/>
      </w:tblPr>
      <w:tblGrid>
        <w:gridCol w:w="1949"/>
        <w:gridCol w:w="1949"/>
        <w:gridCol w:w="1949"/>
        <w:gridCol w:w="1949"/>
        <w:gridCol w:w="1949"/>
      </w:tblGrid>
      <w:tr>
        <w:trPr>
          <w:tblHeader w:val="true"/>
        </w:trPr>
        <w:tc>
          <w:tcPr>
            <w:tcW w:type="dxa" w:w="1949"/>
            <w:shd w:val="clear" w:color="auto" w:fill="1F3A5F"/>
          </w:tcPr>
          <w:p>
            <w:pPr>
              <w:spacing w:after="0" w:line="276" w:lineRule="auto"/>
              <w:jc w:val="center"/>
            </w:pPr>
            <w:r>
              <w:rPr>
                <w:color w:val="FFFFFF"/>
              </w:rPr>
            </w:r>
            <w:r>
              <w:rPr>
                <w:rFonts w:ascii="微軟正黑體" w:hAnsi="微軟正黑體" w:eastAsia="微軟正黑體"/>
                <w:b/>
                <w:sz w:val="20"/>
              </w:rPr>
              <w:t>規格大項</w:t>
            </w:r>
          </w:p>
        </w:tc>
        <w:tc>
          <w:tcPr>
            <w:tcW w:type="dxa" w:w="1949"/>
            <w:shd w:val="clear" w:color="auto" w:fill="1F3A5F"/>
          </w:tcPr>
          <w:p>
            <w:pPr>
              <w:spacing w:after="0" w:line="276" w:lineRule="auto"/>
              <w:jc w:val="center"/>
            </w:pPr>
            <w:r>
              <w:rPr>
                <w:color w:val="FFFFFF"/>
              </w:rPr>
            </w:r>
            <w:r>
              <w:rPr>
                <w:rFonts w:ascii="微軟正黑體" w:hAnsi="微軟正黑體" w:eastAsia="微軟正黑體"/>
                <w:b/>
                <w:sz w:val="20"/>
              </w:rPr>
              <w:t>條文數</w:t>
            </w:r>
          </w:p>
        </w:tc>
        <w:tc>
          <w:tcPr>
            <w:tcW w:type="dxa" w:w="1949"/>
            <w:shd w:val="clear" w:color="auto" w:fill="1F3A5F"/>
          </w:tcPr>
          <w:p>
            <w:pPr>
              <w:spacing w:after="0" w:line="276" w:lineRule="auto"/>
              <w:jc w:val="center"/>
            </w:pPr>
            <w:r>
              <w:rPr>
                <w:color w:val="FFFFFF"/>
              </w:rPr>
            </w:r>
            <w:r>
              <w:rPr>
                <w:rFonts w:ascii="微軟正黑體" w:hAnsi="微軟正黑體" w:eastAsia="微軟正黑體"/>
                <w:b/>
                <w:sz w:val="20"/>
              </w:rPr>
              <w:t>符合</w:t>
            </w:r>
          </w:p>
        </w:tc>
        <w:tc>
          <w:tcPr>
            <w:tcW w:type="dxa" w:w="1949"/>
            <w:shd w:val="clear" w:color="auto" w:fill="1F3A5F"/>
          </w:tcPr>
          <w:p>
            <w:pPr>
              <w:spacing w:after="0" w:line="276" w:lineRule="auto"/>
              <w:jc w:val="center"/>
            </w:pPr>
            <w:r>
              <w:rPr>
                <w:color w:val="FFFFFF"/>
              </w:rPr>
            </w:r>
            <w:r>
              <w:rPr>
                <w:rFonts w:ascii="微軟正黑體" w:hAnsi="微軟正黑體" w:eastAsia="微軟正黑體"/>
                <w:b/>
                <w:sz w:val="20"/>
              </w:rPr>
              <w:t>部分符合</w:t>
            </w:r>
          </w:p>
        </w:tc>
        <w:tc>
          <w:tcPr>
            <w:tcW w:type="dxa" w:w="1949"/>
            <w:shd w:val="clear" w:color="auto" w:fill="1F3A5F"/>
          </w:tcPr>
          <w:p>
            <w:pPr>
              <w:spacing w:after="0" w:line="276" w:lineRule="auto"/>
              <w:jc w:val="center"/>
            </w:pPr>
            <w:r>
              <w:rPr>
                <w:color w:val="FFFFFF"/>
              </w:rPr>
            </w:r>
            <w:r>
              <w:rPr>
                <w:rFonts w:ascii="微軟正黑體" w:hAnsi="微軟正黑體" w:eastAsia="微軟正黑體"/>
                <w:b/>
                <w:sz w:val="20"/>
              </w:rPr>
              <w:t>不符合</w:t>
            </w:r>
          </w:p>
        </w:tc>
      </w:tr>
      <w:tr>
        <w:tc>
          <w:tcPr>
            <w:tcW w:type="dxa" w:w="1949"/>
          </w:tcPr>
          <w:p>
            <w:pPr>
              <w:spacing w:after="0" w:line="276" w:lineRule="auto"/>
              <w:jc w:val="left"/>
            </w:pPr>
            <w:r/>
            <w:r>
              <w:rPr>
                <w:rFonts w:ascii="微軟正黑體" w:hAnsi="微軟正黑體" w:eastAsia="微軟正黑體"/>
                <w:b w:val="0"/>
                <w:sz w:val="20"/>
              </w:rPr>
              <w:t>第 2 大項　系統功能</w:t>
            </w:r>
          </w:p>
        </w:tc>
        <w:tc>
          <w:tcPr>
            <w:tcW w:type="dxa" w:w="1949"/>
          </w:tcPr>
          <w:p>
            <w:pPr>
              <w:spacing w:after="0" w:line="276" w:lineRule="auto"/>
              <w:jc w:val="center"/>
            </w:pPr>
            <w:r/>
            <w:r>
              <w:rPr>
                <w:rFonts w:ascii="微軟正黑體" w:hAnsi="微軟正黑體" w:eastAsia="微軟正黑體"/>
                <w:b w:val="0"/>
                <w:sz w:val="20"/>
              </w:rPr>
              <w:t>21</w:t>
            </w:r>
          </w:p>
        </w:tc>
        <w:tc>
          <w:tcPr>
            <w:tcW w:type="dxa" w:w="1949"/>
          </w:tcPr>
          <w:p>
            <w:pPr>
              <w:spacing w:after="0" w:line="276" w:lineRule="auto"/>
              <w:jc w:val="center"/>
            </w:pPr>
            <w:r/>
            <w:r>
              <w:rPr>
                <w:rFonts w:ascii="微軟正黑體" w:hAnsi="微軟正黑體" w:eastAsia="微軟正黑體"/>
                <w:b w:val="0"/>
                <w:sz w:val="20"/>
              </w:rPr>
              <w:t>6</w:t>
            </w:r>
          </w:p>
        </w:tc>
        <w:tc>
          <w:tcPr>
            <w:tcW w:type="dxa" w:w="1949"/>
          </w:tcPr>
          <w:p>
            <w:pPr>
              <w:spacing w:after="0" w:line="276" w:lineRule="auto"/>
              <w:jc w:val="center"/>
            </w:pPr>
            <w:r/>
            <w:r>
              <w:rPr>
                <w:rFonts w:ascii="微軟正黑體" w:hAnsi="微軟正黑體" w:eastAsia="微軟正黑體"/>
                <w:b w:val="0"/>
                <w:sz w:val="20"/>
              </w:rPr>
              <w:t>15</w:t>
            </w:r>
          </w:p>
        </w:tc>
        <w:tc>
          <w:tcPr>
            <w:tcW w:type="dxa" w:w="1949"/>
          </w:tcPr>
          <w:p>
            <w:pPr>
              <w:spacing w:after="0" w:line="276" w:lineRule="auto"/>
              <w:jc w:val="center"/>
            </w:pPr>
            <w:r/>
            <w:r>
              <w:rPr>
                <w:rFonts w:ascii="微軟正黑體" w:hAnsi="微軟正黑體" w:eastAsia="微軟正黑體"/>
                <w:b w:val="0"/>
                <w:sz w:val="20"/>
              </w:rPr>
              <w:t>0</w:t>
            </w:r>
          </w:p>
        </w:tc>
      </w:tr>
      <w:tr>
        <w:tc>
          <w:tcPr>
            <w:tcW w:type="dxa" w:w="1949"/>
          </w:tcPr>
          <w:p>
            <w:pPr>
              <w:spacing w:after="0" w:line="276" w:lineRule="auto"/>
              <w:jc w:val="left"/>
            </w:pPr>
            <w:r/>
            <w:r>
              <w:rPr>
                <w:rFonts w:ascii="微軟正黑體" w:hAnsi="微軟正黑體" w:eastAsia="微軟正黑體"/>
                <w:b w:val="0"/>
                <w:sz w:val="20"/>
              </w:rPr>
              <w:t>第 4 大項　能源管理系統軟體規格</w:t>
            </w:r>
          </w:p>
        </w:tc>
        <w:tc>
          <w:tcPr>
            <w:tcW w:type="dxa" w:w="1949"/>
          </w:tcPr>
          <w:p>
            <w:pPr>
              <w:spacing w:after="0" w:line="276" w:lineRule="auto"/>
              <w:jc w:val="center"/>
            </w:pPr>
            <w:r/>
            <w:r>
              <w:rPr>
                <w:rFonts w:ascii="微軟正黑體" w:hAnsi="微軟正黑體" w:eastAsia="微軟正黑體"/>
                <w:b w:val="0"/>
                <w:sz w:val="20"/>
              </w:rPr>
              <w:t>20</w:t>
            </w:r>
          </w:p>
        </w:tc>
        <w:tc>
          <w:tcPr>
            <w:tcW w:type="dxa" w:w="1949"/>
          </w:tcPr>
          <w:p>
            <w:pPr>
              <w:spacing w:after="0" w:line="276" w:lineRule="auto"/>
              <w:jc w:val="center"/>
            </w:pPr>
            <w:r/>
            <w:r>
              <w:rPr>
                <w:rFonts w:ascii="微軟正黑體" w:hAnsi="微軟正黑體" w:eastAsia="微軟正黑體"/>
                <w:b w:val="0"/>
                <w:sz w:val="20"/>
              </w:rPr>
              <w:t>8</w:t>
            </w:r>
          </w:p>
        </w:tc>
        <w:tc>
          <w:tcPr>
            <w:tcW w:type="dxa" w:w="1949"/>
          </w:tcPr>
          <w:p>
            <w:pPr>
              <w:spacing w:after="0" w:line="276" w:lineRule="auto"/>
              <w:jc w:val="center"/>
            </w:pPr>
            <w:r/>
            <w:r>
              <w:rPr>
                <w:rFonts w:ascii="微軟正黑體" w:hAnsi="微軟正黑體" w:eastAsia="微軟正黑體"/>
                <w:b w:val="0"/>
                <w:sz w:val="20"/>
              </w:rPr>
              <w:t>12</w:t>
            </w:r>
          </w:p>
        </w:tc>
        <w:tc>
          <w:tcPr>
            <w:tcW w:type="dxa" w:w="1949"/>
          </w:tcPr>
          <w:p>
            <w:pPr>
              <w:spacing w:after="0" w:line="276" w:lineRule="auto"/>
              <w:jc w:val="center"/>
            </w:pPr>
            <w:r/>
            <w:r>
              <w:rPr>
                <w:rFonts w:ascii="微軟正黑體" w:hAnsi="微軟正黑體" w:eastAsia="微軟正黑體"/>
                <w:b w:val="0"/>
                <w:sz w:val="20"/>
              </w:rPr>
              <w:t>0</w:t>
            </w:r>
          </w:p>
        </w:tc>
      </w:tr>
      <w:tr>
        <w:tc>
          <w:tcPr>
            <w:tcW w:type="dxa" w:w="1949"/>
            <w:shd w:val="clear" w:color="auto" w:fill="EDF2F7"/>
          </w:tcPr>
          <w:p>
            <w:pPr>
              <w:spacing w:after="0" w:line="276" w:lineRule="auto"/>
              <w:jc w:val="left"/>
            </w:pPr>
            <w:r/>
            <w:r>
              <w:rPr>
                <w:rFonts w:ascii="微軟正黑體" w:hAnsi="微軟正黑體" w:eastAsia="微軟正黑體"/>
                <w:b/>
                <w:sz w:val="20"/>
              </w:rPr>
              <w:t>合計</w:t>
            </w:r>
          </w:p>
        </w:tc>
        <w:tc>
          <w:tcPr>
            <w:tcW w:type="dxa" w:w="1949"/>
            <w:shd w:val="clear" w:color="auto" w:fill="EDF2F7"/>
          </w:tcPr>
          <w:p>
            <w:pPr>
              <w:spacing w:after="0" w:line="276" w:lineRule="auto"/>
              <w:jc w:val="center"/>
            </w:pPr>
            <w:r/>
            <w:r>
              <w:rPr>
                <w:rFonts w:ascii="微軟正黑體" w:hAnsi="微軟正黑體" w:eastAsia="微軟正黑體"/>
                <w:b/>
                <w:sz w:val="20"/>
              </w:rPr>
              <w:t>41</w:t>
            </w:r>
          </w:p>
        </w:tc>
        <w:tc>
          <w:tcPr>
            <w:tcW w:type="dxa" w:w="1949"/>
            <w:shd w:val="clear" w:color="auto" w:fill="EDF2F7"/>
          </w:tcPr>
          <w:p>
            <w:pPr>
              <w:spacing w:after="0" w:line="276" w:lineRule="auto"/>
              <w:jc w:val="center"/>
            </w:pPr>
            <w:r/>
            <w:r>
              <w:rPr>
                <w:rFonts w:ascii="微軟正黑體" w:hAnsi="微軟正黑體" w:eastAsia="微軟正黑體"/>
                <w:b/>
                <w:sz w:val="20"/>
              </w:rPr>
              <w:t>14</w:t>
            </w:r>
          </w:p>
        </w:tc>
        <w:tc>
          <w:tcPr>
            <w:tcW w:type="dxa" w:w="1949"/>
            <w:shd w:val="clear" w:color="auto" w:fill="EDF2F7"/>
          </w:tcPr>
          <w:p>
            <w:pPr>
              <w:spacing w:after="0" w:line="276" w:lineRule="auto"/>
              <w:jc w:val="center"/>
            </w:pPr>
            <w:r/>
            <w:r>
              <w:rPr>
                <w:rFonts w:ascii="微軟正黑體" w:hAnsi="微軟正黑體" w:eastAsia="微軟正黑體"/>
                <w:b/>
                <w:sz w:val="20"/>
              </w:rPr>
              <w:t>27</w:t>
            </w:r>
          </w:p>
        </w:tc>
        <w:tc>
          <w:tcPr>
            <w:tcW w:type="dxa" w:w="1949"/>
            <w:shd w:val="clear" w:color="auto" w:fill="EDF2F7"/>
          </w:tcPr>
          <w:p>
            <w:pPr>
              <w:spacing w:after="0" w:line="276" w:lineRule="auto"/>
              <w:jc w:val="center"/>
            </w:pPr>
            <w:r/>
            <w:r>
              <w:rPr>
                <w:rFonts w:ascii="微軟正黑體" w:hAnsi="微軟正黑體" w:eastAsia="微軟正黑體"/>
                <w:b/>
                <w:sz w:val="20"/>
              </w:rPr>
              <w:t>0</w:t>
            </w:r>
          </w:p>
        </w:tc>
      </w:tr>
    </w:tbl>
    <w:p>
      <w:r>
        <w:rPr>
          <w:b w:val="0"/>
          <w:i w:val="0"/>
        </w:rPr>
      </w:r>
    </w:p>
    <w:p>
      <w:pPr>
        <w:spacing w:after="80"/>
      </w:pPr>
      <w:r>
        <w:rPr>
          <w:b w:val="0"/>
          <w:i w:val="0"/>
        </w:rPr>
        <w:t>全部 41 條規格中，無任何一條判定為「不符合」。27 條「部分符合」多屬下列三種情形：</w:t>
      </w:r>
    </w:p>
    <w:p>
      <w:pPr>
        <w:pStyle w:val="ListBullet"/>
        <w:spacing w:after="40"/>
        <w:ind w:left="425"/>
      </w:pPr>
      <w:r>
        <w:t>外觀或操作細節的客製選項尚缺（例如顏色、格線數量、專屬列印功能）。</w:t>
      </w:r>
    </w:p>
    <w:p>
      <w:pPr>
        <w:pStyle w:val="ListBullet"/>
        <w:spacing w:after="40"/>
        <w:ind w:left="425"/>
      </w:pPr>
      <w:r>
        <w:t>以等效且更現代的方式達成規格意圖（例如以視覺化邏輯流程與自訂演算法取代 VBScript）。</w:t>
      </w:r>
    </w:p>
    <w:p>
      <w:pPr>
        <w:pStyle w:val="ListBullet"/>
        <w:spacing w:after="40"/>
        <w:ind w:left="425"/>
      </w:pPr>
      <w:r>
        <w:t>功能鏈路已完整，但缺少「級距」「群組」之類的整合式設定介面，需以多條規則逐條設定達成。</w:t>
      </w:r>
    </w:p>
    <w:p>
      <w:r>
        <w:br w:type="page"/>
      </w:r>
    </w:p>
    <w:p>
      <w:pPr>
        <w:pStyle w:val="Heading1"/>
      </w:pPr>
      <w:r>
        <w:t>三、主要差異摘要</w:t>
      </w:r>
    </w:p>
    <w:p>
      <w:pPr>
        <w:spacing w:after="120"/>
      </w:pPr>
      <w:r>
        <w:rPr>
          <w:b w:val="0"/>
          <w:i w:val="0"/>
        </w:rPr>
        <w:t>以下為投標時建議主動說明的七項差異，其餘條文之差異均屬細節，詳見第四、五節逐條說明。</w:t>
      </w:r>
    </w:p>
    <w:p>
      <w:pPr>
        <w:pStyle w:val="ListNumber"/>
        <w:spacing w:after="60"/>
        <w:ind w:left="425"/>
      </w:pPr>
      <w:r>
        <w:rPr>
          <w:b/>
        </w:rPr>
        <w:t>需量控制已可運作，但缺少「契約容量／級距」整合設定介面</w:t>
      </w:r>
    </w:p>
    <w:p>
      <w:pPr>
        <w:spacing w:after="160"/>
        <w:ind w:left="765"/>
      </w:pPr>
      <w:r>
        <w:t>需量值可直接作為控制與警報的判斷基準，超約時自動卸載、發出通知皆可達成；多段級距目前以多條不同門檻的規則逐條設定（例如達 90% 通知、95% 卸載第一批、100% 卸載第二批），而非單一「契約容量＋級距表」的整合式設定畫面。</w:t>
      </w:r>
    </w:p>
    <w:p>
      <w:pPr>
        <w:pStyle w:val="ListNumber"/>
        <w:spacing w:after="60"/>
        <w:ind w:left="425"/>
      </w:pPr>
      <w:r>
        <w:rPr>
          <w:b/>
        </w:rPr>
        <w:t>即時曲線已具備滾動繪圖，單一圖表僅一條曲線</w:t>
      </w:r>
    </w:p>
    <w:p>
      <w:pPr>
        <w:spacing w:after="160"/>
        <w:ind w:left="765"/>
      </w:pPr>
      <w:r>
        <w:t>監控畫面可放置會自動向左滾動的即時曲線，大小、顏色、時間長度、取樣間隔與 Y 軸上下限均可設定；同時比較多個點位時，目前以並列多張圖呈現。另外，個別使用者專屬的圖表設定尚未提供，報表匯出亦僅含數值不含圖形。</w:t>
      </w:r>
    </w:p>
    <w:p>
      <w:pPr>
        <w:pStyle w:val="ListNumber"/>
        <w:spacing w:after="60"/>
        <w:ind w:left="425"/>
      </w:pPr>
      <w:r>
        <w:rPr>
          <w:b/>
        </w:rPr>
        <w:t>不支援 Windows 帳號整合（單一登入）</w:t>
      </w:r>
    </w:p>
    <w:p>
      <w:pPr>
        <w:spacing w:after="160"/>
        <w:ind w:left="765"/>
      </w:pPr>
      <w:r>
        <w:t>系統採自有帳號密碼登入，登入 Windows 後仍需登入本系統。</w:t>
      </w:r>
    </w:p>
    <w:p>
      <w:pPr>
        <w:pStyle w:val="ListNumber"/>
        <w:spacing w:after="60"/>
        <w:ind w:left="425"/>
      </w:pPr>
      <w:r>
        <w:rPr>
          <w:b/>
        </w:rPr>
        <w:t>無警報聲與語音播報</w:t>
      </w:r>
    </w:p>
    <w:p>
      <w:pPr>
        <w:spacing w:after="160"/>
        <w:ind w:left="765"/>
      </w:pPr>
      <w:r>
        <w:t>警報通知以 LINE、電子郵件、簡訊三種文字通道，加上畫面顏色與未恢復警報面板呈現。</w:t>
      </w:r>
    </w:p>
    <w:p>
      <w:pPr>
        <w:pStyle w:val="ListNumber"/>
        <w:spacing w:after="60"/>
        <w:ind w:left="425"/>
      </w:pPr>
      <w:r>
        <w:rPr>
          <w:b/>
        </w:rPr>
        <w:t>未內建 VBScript</w:t>
      </w:r>
    </w:p>
    <w:p>
      <w:pPr>
        <w:spacing w:after="160"/>
        <w:ind w:left="765"/>
      </w:pPr>
      <w:r>
        <w:t>改以視覺化邏輯流程圖、運算式計算點與自訂演算法提供同等且更完整的自建邏輯能力。</w:t>
      </w:r>
    </w:p>
    <w:p>
      <w:pPr>
        <w:pStyle w:val="ListNumber"/>
        <w:spacing w:after="60"/>
        <w:ind w:left="425"/>
      </w:pPr>
      <w:r>
        <w:rPr>
          <w:b/>
        </w:rPr>
        <w:t>OPC 僅具備用戶端（Client）</w:t>
      </w:r>
    </w:p>
    <w:p>
      <w:pPr>
        <w:spacing w:after="160"/>
        <w:ind w:left="765"/>
      </w:pPr>
      <w:r>
        <w:t>可主動讀取外部 OPC UA 伺服器資料；對外分享資料則透過即時資料訂閱與 Modbus 對外閘道，未提供 OPC 伺服器端。</w:t>
      </w:r>
    </w:p>
    <w:p>
      <w:pPr>
        <w:pStyle w:val="ListNumber"/>
        <w:spacing w:after="60"/>
        <w:ind w:left="425"/>
      </w:pPr>
      <w:r>
        <w:rPr>
          <w:b/>
        </w:rPr>
        <w:t>不支援 IE 瀏覽器</w:t>
      </w:r>
    </w:p>
    <w:p>
      <w:pPr>
        <w:spacing w:after="160"/>
        <w:ind w:left="765"/>
      </w:pPr>
      <w:r>
        <w:t>系統採現代網頁技術，IE 已於 2022 年終止支援，建議以 Edge 或 Chrome 操作。</w:t>
      </w:r>
    </w:p>
    <w:p>
      <w:r>
        <w:br w:type="page"/>
      </w:r>
    </w:p>
    <w:p>
      <w:pPr>
        <w:pStyle w:val="Heading1"/>
      </w:pPr>
      <w:r>
        <w:t>四、第 2 大項：系統功能</w:t>
      </w:r>
    </w:p>
    <w:tbl>
      <w:tblPr>
        <w:tblStyle w:val="TableGrid"/>
        <w:tblW w:type="auto" w:w="0"/>
        <w:tblLook w:firstColumn="1" w:firstRow="1" w:lastColumn="0" w:lastRow="0" w:noHBand="0" w:noVBand="1" w:val="04A0"/>
      </w:tblPr>
      <w:tblGrid>
        <w:gridCol w:w="737"/>
        <w:gridCol w:w="2494"/>
        <w:gridCol w:w="1077"/>
        <w:gridCol w:w="4762"/>
      </w:tblGrid>
      <w:tr>
        <w:trPr>
          <w:tblHeader w:val="true"/>
        </w:trPr>
        <w:tc>
          <w:tcPr>
            <w:tcW w:type="dxa" w:w="737"/>
            <w:shd w:val="clear" w:color="auto" w:fill="1F3A5F"/>
          </w:tcPr>
          <w:p>
            <w:pPr>
              <w:spacing w:after="0" w:line="276" w:lineRule="auto"/>
              <w:jc w:val="center"/>
            </w:pPr>
            <w:r>
              <w:rPr>
                <w:color w:val="FFFFFF"/>
              </w:rPr>
            </w:r>
            <w:r>
              <w:rPr>
                <w:rFonts w:ascii="微軟正黑體" w:hAnsi="微軟正黑體" w:eastAsia="微軟正黑體"/>
                <w:b/>
                <w:sz w:val="20"/>
              </w:rPr>
              <w:t>項次</w:t>
            </w:r>
          </w:p>
        </w:tc>
        <w:tc>
          <w:tcPr>
            <w:tcW w:type="dxa" w:w="2494"/>
            <w:shd w:val="clear" w:color="auto" w:fill="1F3A5F"/>
          </w:tcPr>
          <w:p>
            <w:pPr>
              <w:spacing w:after="0" w:line="276" w:lineRule="auto"/>
              <w:jc w:val="center"/>
            </w:pPr>
            <w:r>
              <w:rPr>
                <w:color w:val="FFFFFF"/>
              </w:rPr>
            </w:r>
            <w:r>
              <w:rPr>
                <w:rFonts w:ascii="微軟正黑體" w:hAnsi="微軟正黑體" w:eastAsia="微軟正黑體"/>
                <w:b/>
                <w:sz w:val="20"/>
              </w:rPr>
              <w:t>規格項目</w:t>
            </w:r>
          </w:p>
        </w:tc>
        <w:tc>
          <w:tcPr>
            <w:tcW w:type="dxa" w:w="1077"/>
            <w:shd w:val="clear" w:color="auto" w:fill="1F3A5F"/>
          </w:tcPr>
          <w:p>
            <w:pPr>
              <w:spacing w:after="0" w:line="276" w:lineRule="auto"/>
              <w:jc w:val="center"/>
            </w:pPr>
            <w:r>
              <w:rPr>
                <w:color w:val="FFFFFF"/>
              </w:rPr>
            </w:r>
            <w:r>
              <w:rPr>
                <w:rFonts w:ascii="微軟正黑體" w:hAnsi="微軟正黑體" w:eastAsia="微軟正黑體"/>
                <w:b/>
                <w:sz w:val="20"/>
              </w:rPr>
              <w:t>判定</w:t>
            </w:r>
          </w:p>
        </w:tc>
        <w:tc>
          <w:tcPr>
            <w:tcW w:type="dxa" w:w="4762"/>
            <w:shd w:val="clear" w:color="auto" w:fill="1F3A5F"/>
          </w:tcPr>
          <w:p>
            <w:pPr>
              <w:spacing w:after="0" w:line="276" w:lineRule="auto"/>
              <w:jc w:val="center"/>
            </w:pPr>
            <w:r>
              <w:rPr>
                <w:color w:val="FFFFFF"/>
              </w:rPr>
            </w:r>
            <w:r>
              <w:rPr>
                <w:rFonts w:ascii="微軟正黑體" w:hAnsi="微軟正黑體" w:eastAsia="微軟正黑體"/>
                <w:b/>
                <w:sz w:val="20"/>
              </w:rPr>
              <w:t>說明</w:t>
            </w:r>
          </w:p>
        </w:tc>
      </w:tr>
      <w:tr>
        <w:tc>
          <w:tcPr>
            <w:tcW w:type="dxa" w:w="737"/>
          </w:tcPr>
          <w:p>
            <w:pPr>
              <w:spacing w:after="0" w:line="276" w:lineRule="auto"/>
              <w:jc w:val="center"/>
            </w:pPr>
            <w:r/>
            <w:r>
              <w:rPr>
                <w:rFonts w:ascii="微軟正黑體" w:hAnsi="微軟正黑體" w:eastAsia="微軟正黑體"/>
                <w:b/>
                <w:sz w:val="19"/>
              </w:rPr>
              <w:t>2-1</w:t>
            </w:r>
          </w:p>
        </w:tc>
        <w:tc>
          <w:tcPr>
            <w:tcW w:type="dxa" w:w="2494"/>
          </w:tcPr>
          <w:p>
            <w:pPr>
              <w:spacing w:after="0" w:line="276" w:lineRule="auto"/>
            </w:pPr>
            <w:r/>
            <w:r>
              <w:rPr>
                <w:rFonts w:ascii="微軟正黑體" w:hAnsi="微軟正黑體" w:eastAsia="微軟正黑體"/>
                <w:b w:val="0"/>
                <w:sz w:val="19"/>
              </w:rPr>
              <w:t>節約能源管制監控（節電週期、設備時序、尖離峰運轉、契約容量、超載自動卸載）</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具備節電週期與設備時序排程（含例外日、加開日）、尖離峰時段設定，可對照明、空調等設備做定時與條件式啟停控制；需量超過設定門檻時可自動卸載。區域泵浦畫面可自行增設，冰機群組能源效率（kW/RT）報表能力見 2-15、2-18。差異：尚無「契約容量」與「尖離峰用電限值」的專用設定欄位，門檻須以實際 kW 數值填入。</w:t>
            </w:r>
          </w:p>
        </w:tc>
      </w:tr>
      <w:tr>
        <w:tc>
          <w:tcPr>
            <w:tcW w:type="dxa" w:w="737"/>
          </w:tcPr>
          <w:p>
            <w:pPr>
              <w:spacing w:after="0" w:line="276" w:lineRule="auto"/>
              <w:jc w:val="center"/>
            </w:pPr>
            <w:r/>
            <w:r>
              <w:rPr>
                <w:rFonts w:ascii="微軟正黑體" w:hAnsi="微軟正黑體" w:eastAsia="微軟正黑體"/>
                <w:b/>
                <w:sz w:val="19"/>
              </w:rPr>
              <w:t>2-2</w:t>
            </w:r>
          </w:p>
        </w:tc>
        <w:tc>
          <w:tcPr>
            <w:tcW w:type="dxa" w:w="2494"/>
          </w:tcPr>
          <w:p>
            <w:pPr>
              <w:spacing w:after="0" w:line="276" w:lineRule="auto"/>
            </w:pPr>
            <w:r/>
            <w:r>
              <w:rPr>
                <w:rFonts w:ascii="微軟正黑體" w:hAnsi="微軟正黑體" w:eastAsia="微軟正黑體"/>
                <w:b w:val="0"/>
                <w:sz w:val="19"/>
              </w:rPr>
              <w:t>內建資料庫及報表系統，儲存量大、可長久保存</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內建資料庫保存歷史數據、警報事件與畫面設定，具自動建置與每週自動備份；歷史資料不自動清除，可長久保存。用電、電費、用水、用氣、能源申報等報表系統齊備。</w:t>
            </w:r>
          </w:p>
        </w:tc>
      </w:tr>
      <w:tr>
        <w:tc>
          <w:tcPr>
            <w:tcW w:type="dxa" w:w="737"/>
          </w:tcPr>
          <w:p>
            <w:pPr>
              <w:spacing w:after="0" w:line="276" w:lineRule="auto"/>
              <w:jc w:val="center"/>
            </w:pPr>
            <w:r/>
            <w:r>
              <w:rPr>
                <w:rFonts w:ascii="微軟正黑體" w:hAnsi="微軟正黑體" w:eastAsia="微軟正黑體"/>
                <w:b/>
                <w:sz w:val="19"/>
              </w:rPr>
              <w:t>2-3</w:t>
            </w:r>
          </w:p>
        </w:tc>
        <w:tc>
          <w:tcPr>
            <w:tcW w:type="dxa" w:w="2494"/>
          </w:tcPr>
          <w:p>
            <w:pPr>
              <w:spacing w:after="0" w:line="276" w:lineRule="auto"/>
            </w:pPr>
            <w:r/>
            <w:r>
              <w:rPr>
                <w:rFonts w:ascii="微軟正黑體" w:hAnsi="微軟正黑體" w:eastAsia="微軟正黑體"/>
                <w:b w:val="0"/>
                <w:sz w:val="19"/>
              </w:rPr>
              <w:t>讀取數位電錶／電力轉換器數據，自動定時與不定時抄錶記錄</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系統定時自動採集電錶各項量測值並落存資料庫（每分鐘、每小時兩層），警報與異常事件即時記錄，完全免人工抄錶。</w:t>
            </w:r>
          </w:p>
        </w:tc>
      </w:tr>
      <w:tr>
        <w:tc>
          <w:tcPr>
            <w:tcW w:type="dxa" w:w="737"/>
          </w:tcPr>
          <w:p>
            <w:pPr>
              <w:spacing w:after="0" w:line="276" w:lineRule="auto"/>
              <w:jc w:val="center"/>
            </w:pPr>
            <w:r/>
            <w:r>
              <w:rPr>
                <w:rFonts w:ascii="微軟正黑體" w:hAnsi="微軟正黑體" w:eastAsia="微軟正黑體"/>
                <w:b/>
                <w:sz w:val="19"/>
              </w:rPr>
              <w:t>2-4</w:t>
            </w:r>
          </w:p>
        </w:tc>
        <w:tc>
          <w:tcPr>
            <w:tcW w:type="dxa" w:w="2494"/>
          </w:tcPr>
          <w:p>
            <w:pPr>
              <w:spacing w:after="0" w:line="276" w:lineRule="auto"/>
            </w:pPr>
            <w:r/>
            <w:r>
              <w:rPr>
                <w:rFonts w:ascii="微軟正黑體" w:hAnsi="微軟正黑體" w:eastAsia="微軟正黑體"/>
                <w:b w:val="0"/>
                <w:sz w:val="19"/>
              </w:rPr>
              <w:t>尖離峰時／日／月統計表與列印、制式電力計費報表、電費分攤、異常記錄分析</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具備時、日、月、年用電與電費統計、尖離峰分時電價、子迴路電費分攤、異常事件記錄，並可匯出 Excel。差異：報表為系統自有版型（非台電標準單據格式），列印透過瀏覽器或 Excel 進行，無專屬列印功能。</w:t>
            </w:r>
          </w:p>
        </w:tc>
      </w:tr>
      <w:tr>
        <w:tc>
          <w:tcPr>
            <w:tcW w:type="dxa" w:w="737"/>
          </w:tcPr>
          <w:p>
            <w:pPr>
              <w:spacing w:after="0" w:line="276" w:lineRule="auto"/>
              <w:jc w:val="center"/>
            </w:pPr>
            <w:r/>
            <w:r>
              <w:rPr>
                <w:rFonts w:ascii="微軟正黑體" w:hAnsi="微軟正黑體" w:eastAsia="微軟正黑體"/>
                <w:b/>
                <w:sz w:val="19"/>
              </w:rPr>
              <w:t>2-5</w:t>
            </w:r>
          </w:p>
        </w:tc>
        <w:tc>
          <w:tcPr>
            <w:tcW w:type="dxa" w:w="2494"/>
          </w:tcPr>
          <w:p>
            <w:pPr>
              <w:spacing w:after="0" w:line="276" w:lineRule="auto"/>
            </w:pPr>
            <w:r/>
            <w:r>
              <w:rPr>
                <w:rFonts w:ascii="微軟正黑體" w:hAnsi="微軟正黑體" w:eastAsia="微軟正黑體"/>
                <w:b w:val="0"/>
                <w:sz w:val="19"/>
              </w:rPr>
              <w:t>電力品質與異常分析（電壓、電流、頻率、功因、諧波、事件查詢）</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電壓、電流、功率、功因皆可監控、自動記錄並查詢歷史趨勢，異常自動留存事件記錄可供查詢分析。差異：無專門的諧波（THD）與頻率分析模組，是否有相關數值取決於電錶本身是否提供；事件記錄以警報觸發與恢復為主，非嚴格意義的事件序列（SOE）解析。</w:t>
            </w:r>
          </w:p>
        </w:tc>
      </w:tr>
      <w:tr>
        <w:tc>
          <w:tcPr>
            <w:tcW w:type="dxa" w:w="737"/>
          </w:tcPr>
          <w:p>
            <w:pPr>
              <w:spacing w:after="0" w:line="276" w:lineRule="auto"/>
              <w:jc w:val="center"/>
            </w:pPr>
            <w:r/>
            <w:r>
              <w:rPr>
                <w:rFonts w:ascii="微軟正黑體" w:hAnsi="微軟正黑體" w:eastAsia="微軟正黑體"/>
                <w:b/>
                <w:sz w:val="19"/>
              </w:rPr>
              <w:t>2-6</w:t>
            </w:r>
          </w:p>
        </w:tc>
        <w:tc>
          <w:tcPr>
            <w:tcW w:type="dxa" w:w="2494"/>
          </w:tcPr>
          <w:p>
            <w:pPr>
              <w:spacing w:after="0" w:line="276" w:lineRule="auto"/>
            </w:pPr>
            <w:r/>
            <w:r>
              <w:rPr>
                <w:rFonts w:ascii="微軟正黑體" w:hAnsi="微軟正黑體" w:eastAsia="微軟正黑體"/>
                <w:b w:val="0"/>
                <w:sz w:val="19"/>
              </w:rPr>
              <w:t>安全管理（Windows 帳號整合、操作者權限規劃、按鍵等級限制）</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可逐一規劃每位操作者的權限，並針對每個監控畫面分別授予「可檢視」與「可操作」兩種等級，權限不足者看不到該畫面或無法操作控制按鈕，直接輸入網址亦會被阻擋。差異：不支援 Windows 帳號整合（單一登入），登入 Windows 後仍須輸入本系統帳密。</w:t>
            </w:r>
          </w:p>
        </w:tc>
      </w:tr>
      <w:tr>
        <w:tc>
          <w:tcPr>
            <w:tcW w:type="dxa" w:w="737"/>
          </w:tcPr>
          <w:p>
            <w:pPr>
              <w:spacing w:after="0" w:line="276" w:lineRule="auto"/>
              <w:jc w:val="center"/>
            </w:pPr>
            <w:r/>
            <w:r>
              <w:rPr>
                <w:rFonts w:ascii="微軟正黑體" w:hAnsi="微軟正黑體" w:eastAsia="微軟正黑體"/>
                <w:b/>
                <w:sz w:val="19"/>
              </w:rPr>
              <w:t>2-7</w:t>
            </w:r>
          </w:p>
        </w:tc>
        <w:tc>
          <w:tcPr>
            <w:tcW w:type="dxa" w:w="2494"/>
          </w:tcPr>
          <w:p>
            <w:pPr>
              <w:spacing w:after="0" w:line="276" w:lineRule="auto"/>
            </w:pPr>
            <w:r/>
            <w:r>
              <w:rPr>
                <w:rFonts w:ascii="微軟正黑體" w:hAnsi="微軟正黑體" w:eastAsia="微軟正黑體"/>
                <w:b w:val="0"/>
                <w:sz w:val="19"/>
              </w:rPr>
              <w:t>即時曲線：大小自由設定、筆數不限、可取即時／歷史／內部點位、顏色自訂</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監控畫面可放置即時曲線並自由調整大小；線條、背景、邊框、格線顏色皆可設定；資料來源涵蓋即時值、歷史值與系統內部運算數值。差異：單一圖表目前為一條曲線，需同時比較多個點位時以並列多張圖呈現。</w:t>
            </w:r>
          </w:p>
        </w:tc>
      </w:tr>
      <w:tr>
        <w:tc>
          <w:tcPr>
            <w:tcW w:type="dxa" w:w="737"/>
          </w:tcPr>
          <w:p>
            <w:pPr>
              <w:spacing w:after="0" w:line="276" w:lineRule="auto"/>
              <w:jc w:val="center"/>
            </w:pPr>
            <w:r/>
            <w:r>
              <w:rPr>
                <w:rFonts w:ascii="微軟正黑體" w:hAnsi="微軟正黑體" w:eastAsia="微軟正黑體"/>
                <w:b/>
                <w:sz w:val="19"/>
              </w:rPr>
              <w:t>2-8</w:t>
            </w:r>
          </w:p>
        </w:tc>
        <w:tc>
          <w:tcPr>
            <w:tcW w:type="dxa" w:w="2494"/>
          </w:tcPr>
          <w:p>
            <w:pPr>
              <w:spacing w:after="0" w:line="276" w:lineRule="auto"/>
            </w:pPr>
            <w:r/>
            <w:r>
              <w:rPr>
                <w:rFonts w:ascii="微軟正黑體" w:hAnsi="微軟正黑體" w:eastAsia="微軟正黑體"/>
                <w:b w:val="0"/>
                <w:sz w:val="19"/>
              </w:rPr>
              <w:t>即時曲線：依使用者需求設定、即時繪圖、X／Y 軸規劃、取樣時間</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即時曲線為自動向左滾動的真即時繪圖；時間長度、取樣（畫點）間隔與 Y 軸上下限均可設定，歷史趨勢頁另可自訂查詢起訖時間與取樣間隔。差異：尚無個別使用者專屬的圖表設定（畫面為全站共用）；歷史趨勢頁的 Y 軸範圍仍由系統自動計算。</w:t>
            </w:r>
          </w:p>
        </w:tc>
      </w:tr>
      <w:tr>
        <w:tc>
          <w:tcPr>
            <w:tcW w:type="dxa" w:w="737"/>
          </w:tcPr>
          <w:p>
            <w:pPr>
              <w:spacing w:after="0" w:line="276" w:lineRule="auto"/>
              <w:jc w:val="center"/>
            </w:pPr>
            <w:r/>
            <w:r>
              <w:rPr>
                <w:rFonts w:ascii="微軟正黑體" w:hAnsi="微軟正黑體" w:eastAsia="微軟正黑體"/>
                <w:b/>
                <w:sz w:val="19"/>
              </w:rPr>
              <w:t>2-9</w:t>
            </w:r>
          </w:p>
        </w:tc>
        <w:tc>
          <w:tcPr>
            <w:tcW w:type="dxa" w:w="2494"/>
          </w:tcPr>
          <w:p>
            <w:pPr>
              <w:spacing w:after="0" w:line="276" w:lineRule="auto"/>
            </w:pPr>
            <w:r/>
            <w:r>
              <w:rPr>
                <w:rFonts w:ascii="微軟正黑體" w:hAnsi="微軟正黑體" w:eastAsia="微軟正黑體"/>
                <w:b w:val="0"/>
                <w:sz w:val="19"/>
              </w:rPr>
              <w:t>歷史曲線：X 軸間隔與 Y 軸範圍可動態改變、區隔線數目可設定</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X 軸時間間隔可自訂且執行中可即時變更並重繪。差異：Y 軸範圍與格線數量目前僅即時曲線可設定，歷史趨勢頁的 Y 軸範圍與格線由系統自動計算。</w:t>
            </w:r>
          </w:p>
        </w:tc>
      </w:tr>
      <w:tr>
        <w:tc>
          <w:tcPr>
            <w:tcW w:type="dxa" w:w="737"/>
          </w:tcPr>
          <w:p>
            <w:pPr>
              <w:spacing w:after="0" w:line="276" w:lineRule="auto"/>
              <w:jc w:val="center"/>
            </w:pPr>
            <w:r/>
            <w:r>
              <w:rPr>
                <w:rFonts w:ascii="微軟正黑體" w:hAnsi="微軟正黑體" w:eastAsia="微軟正黑體"/>
                <w:b/>
                <w:sz w:val="19"/>
              </w:rPr>
              <w:t>2-10</w:t>
            </w:r>
          </w:p>
        </w:tc>
        <w:tc>
          <w:tcPr>
            <w:tcW w:type="dxa" w:w="2494"/>
          </w:tcPr>
          <w:p>
            <w:pPr>
              <w:spacing w:after="0" w:line="276" w:lineRule="auto"/>
            </w:pPr>
            <w:r/>
            <w:r>
              <w:rPr>
                <w:rFonts w:ascii="微軟正黑體" w:hAnsi="微軟正黑體" w:eastAsia="微軟正黑體"/>
                <w:b w:val="0"/>
                <w:sz w:val="19"/>
              </w:rPr>
              <w:t>歷史曲線：顏色設定、資料保存天數與儲存週期、執行中動態控制</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執行中可隨時變更時間範圍、取樣間隔、單雙軸與折線／柱狀型式並立即重繪。差異：曲線與背景、格線顏色為系統固定配色；資料儲存週期固定，歷史保存天數無設定介面（現況全部保留）。</w:t>
            </w:r>
          </w:p>
        </w:tc>
      </w:tr>
      <w:tr>
        <w:tc>
          <w:tcPr>
            <w:tcW w:type="dxa" w:w="737"/>
          </w:tcPr>
          <w:p>
            <w:pPr>
              <w:spacing w:after="0" w:line="276" w:lineRule="auto"/>
              <w:jc w:val="center"/>
            </w:pPr>
            <w:r/>
            <w:r>
              <w:rPr>
                <w:rFonts w:ascii="微軟正黑體" w:hAnsi="微軟正黑體" w:eastAsia="微軟正黑體"/>
                <w:b/>
                <w:sz w:val="19"/>
              </w:rPr>
              <w:t>2-11</w:t>
            </w:r>
          </w:p>
        </w:tc>
        <w:tc>
          <w:tcPr>
            <w:tcW w:type="dxa" w:w="2494"/>
          </w:tcPr>
          <w:p>
            <w:pPr>
              <w:spacing w:after="0" w:line="276" w:lineRule="auto"/>
            </w:pPr>
            <w:r/>
            <w:r>
              <w:rPr>
                <w:rFonts w:ascii="微軟正黑體" w:hAnsi="微軟正黑體" w:eastAsia="微軟正黑體"/>
                <w:b w:val="0"/>
                <w:sz w:val="19"/>
              </w:rPr>
              <w:t>歷史曲線：縮放、列印、執行中變更繪製點位與起始時間</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執行中可任意增減查詢點位、變更起始時間與時間長度。差異：無圖表縮放（zoom）功能；無專屬列印功能，可用瀏覽器列印替代。</w:t>
            </w:r>
          </w:p>
        </w:tc>
      </w:tr>
      <w:tr>
        <w:tc>
          <w:tcPr>
            <w:tcW w:type="dxa" w:w="737"/>
          </w:tcPr>
          <w:p>
            <w:pPr>
              <w:spacing w:after="0" w:line="276" w:lineRule="auto"/>
              <w:jc w:val="center"/>
            </w:pPr>
            <w:r/>
            <w:r>
              <w:rPr>
                <w:rFonts w:ascii="微軟正黑體" w:hAnsi="微軟正黑體" w:eastAsia="微軟正黑體"/>
                <w:b/>
                <w:sz w:val="19"/>
              </w:rPr>
              <w:t>2-12</w:t>
            </w:r>
          </w:p>
        </w:tc>
        <w:tc>
          <w:tcPr>
            <w:tcW w:type="dxa" w:w="2494"/>
          </w:tcPr>
          <w:p>
            <w:pPr>
              <w:spacing w:after="0" w:line="276" w:lineRule="auto"/>
            </w:pPr>
            <w:r/>
            <w:r>
              <w:rPr>
                <w:rFonts w:ascii="微軟正黑體" w:hAnsi="微軟正黑體" w:eastAsia="微軟正黑體"/>
                <w:b w:val="0"/>
                <w:sz w:val="19"/>
              </w:rPr>
              <w:t>警報處理：事件警報與系統故障警報、警報群組樹狀化</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具備上下限警報、狀態（開關）警報，以及控制指令連續失敗的系統故障警報。差異：群組化目前用於「通知收件對象」分組（各群組可獨立設定接收的嚴重度），警報本身無樹狀群組架構。</w:t>
            </w:r>
          </w:p>
        </w:tc>
      </w:tr>
      <w:tr>
        <w:tc>
          <w:tcPr>
            <w:tcW w:type="dxa" w:w="737"/>
          </w:tcPr>
          <w:p>
            <w:pPr>
              <w:spacing w:after="0" w:line="276" w:lineRule="auto"/>
              <w:jc w:val="center"/>
            </w:pPr>
            <w:r/>
            <w:r>
              <w:rPr>
                <w:rFonts w:ascii="微軟正黑體" w:hAnsi="微軟正黑體" w:eastAsia="微軟正黑體"/>
                <w:b/>
                <w:sz w:val="19"/>
              </w:rPr>
              <w:t>2-13</w:t>
            </w:r>
          </w:p>
        </w:tc>
        <w:tc>
          <w:tcPr>
            <w:tcW w:type="dxa" w:w="2494"/>
          </w:tcPr>
          <w:p>
            <w:pPr>
              <w:spacing w:after="0" w:line="276" w:lineRule="auto"/>
            </w:pPr>
            <w:r/>
            <w:r>
              <w:rPr>
                <w:rFonts w:ascii="微軟正黑體" w:hAnsi="微軟正黑體" w:eastAsia="微軟正黑體"/>
                <w:b w:val="0"/>
                <w:sz w:val="19"/>
              </w:rPr>
              <w:t>警報處理：警報聲、優先等級、記錄檔設定、語音警報、看板設定、寫入資料庫</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每條警報規則可設緊急／高／中／低四級優先等級；觸發與恢復均即時寫入資料庫；警報看板元件與版面可自訂，未恢復警報面板可依確認狀態篩選。差異：無依設備區分的警報聲與語音播報；嚴重度顏色為系統固定；無警報記錄檔起始時間、儲存週期與保存天數的設定介面。</w:t>
            </w:r>
          </w:p>
        </w:tc>
      </w:tr>
      <w:tr>
        <w:tc>
          <w:tcPr>
            <w:tcW w:type="dxa" w:w="737"/>
          </w:tcPr>
          <w:p>
            <w:pPr>
              <w:spacing w:after="0" w:line="276" w:lineRule="auto"/>
              <w:jc w:val="center"/>
            </w:pPr>
            <w:r/>
            <w:r>
              <w:rPr>
                <w:rFonts w:ascii="微軟正黑體" w:hAnsi="微軟正黑體" w:eastAsia="微軟正黑體"/>
                <w:b/>
                <w:sz w:val="19"/>
              </w:rPr>
              <w:t>2-14</w:t>
            </w:r>
          </w:p>
        </w:tc>
        <w:tc>
          <w:tcPr>
            <w:tcW w:type="dxa" w:w="2494"/>
          </w:tcPr>
          <w:p>
            <w:pPr>
              <w:spacing w:after="0" w:line="276" w:lineRule="auto"/>
            </w:pPr>
            <w:r/>
            <w:r>
              <w:rPr>
                <w:rFonts w:ascii="微軟正黑體" w:hAnsi="微軟正黑體" w:eastAsia="微軟正黑體"/>
                <w:b w:val="0"/>
                <w:sz w:val="19"/>
              </w:rPr>
              <w:t>報表製作能力（警報報表、點位資料報表）</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警報事件可匯出；用電、用水、用氣、電費、歷史趨勢、能源日報等多種報表皆可匯出 Excel。差異：報表均為系統預先定義，未提供使用者自行設計報表版面的產生器。</w:t>
            </w:r>
          </w:p>
        </w:tc>
      </w:tr>
      <w:tr>
        <w:tc>
          <w:tcPr>
            <w:tcW w:type="dxa" w:w="737"/>
          </w:tcPr>
          <w:p>
            <w:pPr>
              <w:spacing w:after="0" w:line="276" w:lineRule="auto"/>
              <w:jc w:val="center"/>
            </w:pPr>
            <w:r/>
            <w:r>
              <w:rPr>
                <w:rFonts w:ascii="微軟正黑體" w:hAnsi="微軟正黑體" w:eastAsia="微軟正黑體"/>
                <w:b/>
                <w:sz w:val="19"/>
              </w:rPr>
              <w:t>2-15</w:t>
            </w:r>
          </w:p>
        </w:tc>
        <w:tc>
          <w:tcPr>
            <w:tcW w:type="dxa" w:w="2494"/>
          </w:tcPr>
          <w:p>
            <w:pPr>
              <w:spacing w:after="0" w:line="276" w:lineRule="auto"/>
            </w:pPr>
            <w:r/>
            <w:r>
              <w:rPr>
                <w:rFonts w:ascii="微軟正黑體" w:hAnsi="微軟正黑體" w:eastAsia="微軟正黑體"/>
                <w:b w:val="0"/>
                <w:sz w:val="19"/>
              </w:rPr>
              <w:t>冰機效率分析：即時總耗功率、總冷凍噸、kW/RT 顯示於主畫面</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即時總耗功率、瞬時冷凍噸與 kW/RT 均可運算並顯示於監控主畫面；效率指標亦已應用於冷凍噸報表、空調水系統與能源分析。差異：無現成的「冰機效率分析」整合畫面，需以現場設定方式建置（屬設定作業，非程式開發）。</w:t>
            </w:r>
          </w:p>
        </w:tc>
      </w:tr>
      <w:tr>
        <w:tc>
          <w:tcPr>
            <w:tcW w:type="dxa" w:w="737"/>
          </w:tcPr>
          <w:p>
            <w:pPr>
              <w:spacing w:after="0" w:line="276" w:lineRule="auto"/>
              <w:jc w:val="center"/>
            </w:pPr>
            <w:r/>
            <w:r>
              <w:rPr>
                <w:rFonts w:ascii="微軟正黑體" w:hAnsi="微軟正黑體" w:eastAsia="微軟正黑體"/>
                <w:b/>
                <w:sz w:val="19"/>
              </w:rPr>
              <w:t>2-16</w:t>
            </w:r>
          </w:p>
        </w:tc>
        <w:tc>
          <w:tcPr>
            <w:tcW w:type="dxa" w:w="2494"/>
          </w:tcPr>
          <w:p>
            <w:pPr>
              <w:spacing w:after="0" w:line="276" w:lineRule="auto"/>
            </w:pPr>
            <w:r/>
            <w:r>
              <w:rPr>
                <w:rFonts w:ascii="微軟正黑體" w:hAnsi="微軟正黑體" w:eastAsia="微軟正黑體"/>
                <w:b w:val="0"/>
                <w:sz w:val="19"/>
              </w:rPr>
              <w:t>空調系統基線設定</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可以空調用電（冰機、泵浦）或任一量測點位（功率、冷凍噸、冷量）為目標值，搭配外氣溫濕度、產量等變因建立能源基線，支援基線建模、凍結、能源績效指標與節能量計算。</w:t>
            </w:r>
          </w:p>
        </w:tc>
      </w:tr>
      <w:tr>
        <w:tc>
          <w:tcPr>
            <w:tcW w:type="dxa" w:w="737"/>
          </w:tcPr>
          <w:p>
            <w:pPr>
              <w:spacing w:after="0" w:line="276" w:lineRule="auto"/>
              <w:jc w:val="center"/>
            </w:pPr>
            <w:r/>
            <w:r>
              <w:rPr>
                <w:rFonts w:ascii="微軟正黑體" w:hAnsi="微軟正黑體" w:eastAsia="微軟正黑體"/>
                <w:b/>
                <w:sz w:val="19"/>
              </w:rPr>
              <w:t>2-17</w:t>
            </w:r>
          </w:p>
        </w:tc>
        <w:tc>
          <w:tcPr>
            <w:tcW w:type="dxa" w:w="2494"/>
          </w:tcPr>
          <w:p>
            <w:pPr>
              <w:spacing w:after="0" w:line="276" w:lineRule="auto"/>
            </w:pPr>
            <w:r/>
            <w:r>
              <w:rPr>
                <w:rFonts w:ascii="微軟正黑體" w:hAnsi="微軟正黑體" w:eastAsia="微軟正黑體"/>
                <w:b w:val="0"/>
                <w:sz w:val="19"/>
              </w:rPr>
              <w:t>空調系統異常告警</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可對空調相關的溫度、流量、功率、冷凍噸等數值設定異常告警，並經 LINE／電子郵件／簡訊通知。差異：以通用警報機制達成，無「空調系統」專屬告警模組（實務上可涵蓋需求）。</w:t>
            </w:r>
          </w:p>
        </w:tc>
      </w:tr>
      <w:tr>
        <w:tc>
          <w:tcPr>
            <w:tcW w:type="dxa" w:w="737"/>
          </w:tcPr>
          <w:p>
            <w:pPr>
              <w:spacing w:after="0" w:line="276" w:lineRule="auto"/>
              <w:jc w:val="center"/>
            </w:pPr>
            <w:r/>
            <w:r>
              <w:rPr>
                <w:rFonts w:ascii="微軟正黑體" w:hAnsi="微軟正黑體" w:eastAsia="微軟正黑體"/>
                <w:b/>
                <w:sz w:val="19"/>
              </w:rPr>
              <w:t>2-18</w:t>
            </w:r>
          </w:p>
        </w:tc>
        <w:tc>
          <w:tcPr>
            <w:tcW w:type="dxa" w:w="2494"/>
          </w:tcPr>
          <w:p>
            <w:pPr>
              <w:spacing w:after="0" w:line="276" w:lineRule="auto"/>
            </w:pPr>
            <w:r/>
            <w:r>
              <w:rPr>
                <w:rFonts w:ascii="微軟正黑體" w:hAnsi="微軟正黑體" w:eastAsia="微軟正黑體"/>
                <w:b w:val="0"/>
                <w:sz w:val="19"/>
              </w:rPr>
              <w:t>空調冷凍噸計算：系統即時值與指定區間累計</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瞬時冷凍噸可即時顯示並即時累積（當日、當月）；指定區間累計具備冷凍噸月報表、空調水系統年／月／日累計，以及任意日期區間的累計查詢。</w:t>
            </w:r>
          </w:p>
        </w:tc>
      </w:tr>
      <w:tr>
        <w:tc>
          <w:tcPr>
            <w:tcW w:type="dxa" w:w="737"/>
          </w:tcPr>
          <w:p>
            <w:pPr>
              <w:spacing w:after="0" w:line="276" w:lineRule="auto"/>
              <w:jc w:val="center"/>
            </w:pPr>
            <w:r/>
            <w:r>
              <w:rPr>
                <w:rFonts w:ascii="微軟正黑體" w:hAnsi="微軟正黑體" w:eastAsia="微軟正黑體"/>
                <w:b/>
                <w:sz w:val="19"/>
              </w:rPr>
              <w:t>2-19</w:t>
            </w:r>
          </w:p>
        </w:tc>
        <w:tc>
          <w:tcPr>
            <w:tcW w:type="dxa" w:w="2494"/>
          </w:tcPr>
          <w:p>
            <w:pPr>
              <w:spacing w:after="0" w:line="276" w:lineRule="auto"/>
            </w:pPr>
            <w:r/>
            <w:r>
              <w:rPr>
                <w:rFonts w:ascii="微軟正黑體" w:hAnsi="微軟正黑體" w:eastAsia="微軟正黑體"/>
                <w:b w:val="0"/>
                <w:sz w:val="19"/>
              </w:rPr>
              <w:t>跨廠區遠端管理（回傳顯示、CH：kW/RT、CHP：COP、kW 監視畫面）</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跨系統資料進出機制齊備：遠端站台數據可回傳本系統成為一般監控點位，本系統亦可將即時資料對外分享；kW/RT、COP、kW 等指標可運算後呈現於監控畫面與能源看板。差異：無內建「多廠區站台管理」模組與站台切換主控台，跨廠區呈現需另行組建畫面。</w:t>
            </w:r>
          </w:p>
        </w:tc>
      </w:tr>
      <w:tr>
        <w:tc>
          <w:tcPr>
            <w:tcW w:type="dxa" w:w="737"/>
          </w:tcPr>
          <w:p>
            <w:pPr>
              <w:spacing w:after="0" w:line="276" w:lineRule="auto"/>
              <w:jc w:val="center"/>
            </w:pPr>
            <w:r/>
            <w:r>
              <w:rPr>
                <w:rFonts w:ascii="微軟正黑體" w:hAnsi="微軟正黑體" w:eastAsia="微軟正黑體"/>
                <w:b/>
                <w:sz w:val="19"/>
              </w:rPr>
              <w:t>2-20</w:t>
            </w:r>
          </w:p>
        </w:tc>
        <w:tc>
          <w:tcPr>
            <w:tcW w:type="dxa" w:w="2494"/>
          </w:tcPr>
          <w:p>
            <w:pPr>
              <w:spacing w:after="0" w:line="276" w:lineRule="auto"/>
            </w:pPr>
            <w:r/>
            <w:r>
              <w:rPr>
                <w:rFonts w:ascii="微軟正黑體" w:hAnsi="微軟正黑體" w:eastAsia="微軟正黑體"/>
                <w:b w:val="0"/>
                <w:sz w:val="19"/>
              </w:rPr>
              <w:t>區域泵浦用電資訊蒐集（ZP1～ZP10 新增電錶）</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平台可新增電錶設備並建立 ZP1～ZP10 用電節點，即可蒐集用電並納入報表與圖表；屬硬體加裝加上系統設定即可完成。</w:t>
            </w:r>
          </w:p>
        </w:tc>
      </w:tr>
      <w:tr>
        <w:tc>
          <w:tcPr>
            <w:tcW w:type="dxa" w:w="737"/>
          </w:tcPr>
          <w:p>
            <w:pPr>
              <w:spacing w:after="0" w:line="276" w:lineRule="auto"/>
              <w:jc w:val="center"/>
            </w:pPr>
            <w:r/>
            <w:r>
              <w:rPr>
                <w:rFonts w:ascii="微軟正黑體" w:hAnsi="微軟正黑體" w:eastAsia="微軟正黑體"/>
                <w:b/>
                <w:sz w:val="19"/>
              </w:rPr>
              <w:t>2-21</w:t>
            </w:r>
          </w:p>
        </w:tc>
        <w:tc>
          <w:tcPr>
            <w:tcW w:type="dxa" w:w="2494"/>
          </w:tcPr>
          <w:p>
            <w:pPr>
              <w:spacing w:after="0" w:line="276" w:lineRule="auto"/>
            </w:pPr>
            <w:r/>
            <w:r>
              <w:rPr>
                <w:rFonts w:ascii="微軟正黑體" w:hAnsi="微軟正黑體" w:eastAsia="微軟正黑體"/>
                <w:b w:val="0"/>
                <w:sz w:val="19"/>
              </w:rPr>
              <w:t>區域泵浦流量資訊蒐集（ZP1～ZP10 配合流量計）</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流量計接入後，即時顯示、歷史趨勢、警報與 Excel 匯出功能皆可通用（現場已有冰水主管流量計在用）。註：無專屬「流量報表」頁面；瞬時流量若需累計為體積，可以運算點位自行建立。</w:t>
            </w:r>
          </w:p>
        </w:tc>
      </w:tr>
    </w:tbl>
    <w:p>
      <w:r>
        <w:br w:type="page"/>
      </w:r>
    </w:p>
    <w:p>
      <w:pPr>
        <w:pStyle w:val="Heading1"/>
      </w:pPr>
      <w:r>
        <w:t>五、第 4 大項：能源管理系統軟體規格</w:t>
      </w:r>
    </w:p>
    <w:tbl>
      <w:tblPr>
        <w:tblStyle w:val="TableGrid"/>
        <w:tblW w:type="auto" w:w="0"/>
        <w:tblLook w:firstColumn="1" w:firstRow="1" w:lastColumn="0" w:lastRow="0" w:noHBand="0" w:noVBand="1" w:val="04A0"/>
      </w:tblPr>
      <w:tblGrid>
        <w:gridCol w:w="737"/>
        <w:gridCol w:w="2494"/>
        <w:gridCol w:w="1077"/>
        <w:gridCol w:w="4762"/>
      </w:tblGrid>
      <w:tr>
        <w:trPr>
          <w:tblHeader w:val="true"/>
        </w:trPr>
        <w:tc>
          <w:tcPr>
            <w:tcW w:type="dxa" w:w="737"/>
            <w:shd w:val="clear" w:color="auto" w:fill="1F3A5F"/>
          </w:tcPr>
          <w:p>
            <w:pPr>
              <w:spacing w:after="0" w:line="276" w:lineRule="auto"/>
              <w:jc w:val="center"/>
            </w:pPr>
            <w:r>
              <w:rPr>
                <w:color w:val="FFFFFF"/>
              </w:rPr>
            </w:r>
            <w:r>
              <w:rPr>
                <w:rFonts w:ascii="微軟正黑體" w:hAnsi="微軟正黑體" w:eastAsia="微軟正黑體"/>
                <w:b/>
                <w:sz w:val="20"/>
              </w:rPr>
              <w:t>項次</w:t>
            </w:r>
          </w:p>
        </w:tc>
        <w:tc>
          <w:tcPr>
            <w:tcW w:type="dxa" w:w="2494"/>
            <w:shd w:val="clear" w:color="auto" w:fill="1F3A5F"/>
          </w:tcPr>
          <w:p>
            <w:pPr>
              <w:spacing w:after="0" w:line="276" w:lineRule="auto"/>
              <w:jc w:val="center"/>
            </w:pPr>
            <w:r>
              <w:rPr>
                <w:color w:val="FFFFFF"/>
              </w:rPr>
            </w:r>
            <w:r>
              <w:rPr>
                <w:rFonts w:ascii="微軟正黑體" w:hAnsi="微軟正黑體" w:eastAsia="微軟正黑體"/>
                <w:b/>
                <w:sz w:val="20"/>
              </w:rPr>
              <w:t>規格項目</w:t>
            </w:r>
          </w:p>
        </w:tc>
        <w:tc>
          <w:tcPr>
            <w:tcW w:type="dxa" w:w="1077"/>
            <w:shd w:val="clear" w:color="auto" w:fill="1F3A5F"/>
          </w:tcPr>
          <w:p>
            <w:pPr>
              <w:spacing w:after="0" w:line="276" w:lineRule="auto"/>
              <w:jc w:val="center"/>
            </w:pPr>
            <w:r>
              <w:rPr>
                <w:color w:val="FFFFFF"/>
              </w:rPr>
            </w:r>
            <w:r>
              <w:rPr>
                <w:rFonts w:ascii="微軟正黑體" w:hAnsi="微軟正黑體" w:eastAsia="微軟正黑體"/>
                <w:b/>
                <w:sz w:val="20"/>
              </w:rPr>
              <w:t>判定</w:t>
            </w:r>
          </w:p>
        </w:tc>
        <w:tc>
          <w:tcPr>
            <w:tcW w:type="dxa" w:w="4762"/>
            <w:shd w:val="clear" w:color="auto" w:fill="1F3A5F"/>
          </w:tcPr>
          <w:p>
            <w:pPr>
              <w:spacing w:after="0" w:line="276" w:lineRule="auto"/>
              <w:jc w:val="center"/>
            </w:pPr>
            <w:r>
              <w:rPr>
                <w:color w:val="FFFFFF"/>
              </w:rPr>
            </w:r>
            <w:r>
              <w:rPr>
                <w:rFonts w:ascii="微軟正黑體" w:hAnsi="微軟正黑體" w:eastAsia="微軟正黑體"/>
                <w:b/>
                <w:sz w:val="20"/>
              </w:rPr>
              <w:t>說明</w:t>
            </w:r>
          </w:p>
        </w:tc>
      </w:tr>
      <w:tr>
        <w:tc>
          <w:tcPr>
            <w:tcW w:type="dxa" w:w="737"/>
          </w:tcPr>
          <w:p>
            <w:pPr>
              <w:spacing w:after="0" w:line="276" w:lineRule="auto"/>
              <w:jc w:val="center"/>
            </w:pPr>
            <w:r/>
            <w:r>
              <w:rPr>
                <w:rFonts w:ascii="微軟正黑體" w:hAnsi="微軟正黑體" w:eastAsia="微軟正黑體"/>
                <w:b/>
                <w:sz w:val="19"/>
              </w:rPr>
              <w:t>4-1</w:t>
            </w:r>
          </w:p>
        </w:tc>
        <w:tc>
          <w:tcPr>
            <w:tcW w:type="dxa" w:w="2494"/>
          </w:tcPr>
          <w:p>
            <w:pPr>
              <w:spacing w:after="0" w:line="276" w:lineRule="auto"/>
            </w:pPr>
            <w:r/>
            <w:r>
              <w:rPr>
                <w:rFonts w:ascii="微軟正黑體" w:hAnsi="微軟正黑體" w:eastAsia="微軟正黑體"/>
                <w:b w:val="0"/>
                <w:sz w:val="19"/>
              </w:rPr>
              <w:t>軟體授權：既有圖控系統擴充點數</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授權以硬體加密鎖驗證，不依點數計價，新增點位無須加購授權，等同點數不設限。差異：與規格所述「按點數擴充」的計價模式不同，屬商務條款對應問題；功能面擴充點位完全不受授權限制。</w:t>
            </w:r>
          </w:p>
        </w:tc>
      </w:tr>
      <w:tr>
        <w:tc>
          <w:tcPr>
            <w:tcW w:type="dxa" w:w="737"/>
          </w:tcPr>
          <w:p>
            <w:pPr>
              <w:spacing w:after="0" w:line="276" w:lineRule="auto"/>
              <w:jc w:val="center"/>
            </w:pPr>
            <w:r/>
            <w:r>
              <w:rPr>
                <w:rFonts w:ascii="微軟正黑體" w:hAnsi="微軟正黑體" w:eastAsia="微軟正黑體"/>
                <w:b/>
                <w:sz w:val="19"/>
              </w:rPr>
              <w:t>4-2</w:t>
            </w:r>
          </w:p>
        </w:tc>
        <w:tc>
          <w:tcPr>
            <w:tcW w:type="dxa" w:w="2494"/>
          </w:tcPr>
          <w:p>
            <w:pPr>
              <w:spacing w:after="0" w:line="276" w:lineRule="auto"/>
            </w:pPr>
            <w:r/>
            <w:r>
              <w:rPr>
                <w:rFonts w:ascii="微軟正黑體" w:hAnsi="微軟正黑體" w:eastAsia="微軟正黑體"/>
                <w:b w:val="0"/>
                <w:sz w:val="19"/>
              </w:rPr>
              <w:t>中文介面、Web 化操作環境、支援 Windows 10 以上</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全網頁操作，預設繁體中文（可切換英文）；伺服器於 Windows 10／11 運行，用戶端僅需瀏覽器。</w:t>
            </w:r>
          </w:p>
        </w:tc>
      </w:tr>
      <w:tr>
        <w:tc>
          <w:tcPr>
            <w:tcW w:type="dxa" w:w="737"/>
          </w:tcPr>
          <w:p>
            <w:pPr>
              <w:spacing w:after="0" w:line="276" w:lineRule="auto"/>
              <w:jc w:val="center"/>
            </w:pPr>
            <w:r/>
            <w:r>
              <w:rPr>
                <w:rFonts w:ascii="微軟正黑體" w:hAnsi="微軟正黑體" w:eastAsia="微軟正黑體"/>
                <w:b/>
                <w:sz w:val="19"/>
              </w:rPr>
              <w:t>4-3</w:t>
            </w:r>
          </w:p>
        </w:tc>
        <w:tc>
          <w:tcPr>
            <w:tcW w:type="dxa" w:w="2494"/>
          </w:tcPr>
          <w:p>
            <w:pPr>
              <w:spacing w:after="0" w:line="276" w:lineRule="auto"/>
            </w:pPr>
            <w:r/>
            <w:r>
              <w:rPr>
                <w:rFonts w:ascii="微軟正黑體" w:hAnsi="微軟正黑體" w:eastAsia="微軟正黑體"/>
                <w:b w:val="0"/>
                <w:sz w:val="19"/>
              </w:rPr>
              <w:t>網頁（IE、Chrome）遠端登入、免安裝、用戶數無限制</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純瀏覽器登入，瀏覽、設定變更與數據查詢皆網頁化、用戶端免安裝任何套件；使用人數無授權席次限制。差異：不支援 IE（已於 2022 年終止支援），建議以 Edge 或 Chrome 取代。</w:t>
            </w:r>
          </w:p>
        </w:tc>
      </w:tr>
      <w:tr>
        <w:tc>
          <w:tcPr>
            <w:tcW w:type="dxa" w:w="737"/>
          </w:tcPr>
          <w:p>
            <w:pPr>
              <w:spacing w:after="0" w:line="276" w:lineRule="auto"/>
              <w:jc w:val="center"/>
            </w:pPr>
            <w:r/>
            <w:r>
              <w:rPr>
                <w:rFonts w:ascii="微軟正黑體" w:hAnsi="微軟正黑體" w:eastAsia="微軟正黑體"/>
                <w:b/>
                <w:sz w:val="19"/>
              </w:rPr>
              <w:t>4-4</w:t>
            </w:r>
          </w:p>
        </w:tc>
        <w:tc>
          <w:tcPr>
            <w:tcW w:type="dxa" w:w="2494"/>
          </w:tcPr>
          <w:p>
            <w:pPr>
              <w:spacing w:after="0" w:line="276" w:lineRule="auto"/>
            </w:pPr>
            <w:r/>
            <w:r>
              <w:rPr>
                <w:rFonts w:ascii="微軟正黑體" w:hAnsi="微軟正黑體" w:eastAsia="微軟正黑體"/>
                <w:b w:val="0"/>
                <w:sz w:val="19"/>
              </w:rPr>
              <w:t>資料庫可位於本機端或遠端電腦</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資料庫連線位址可設定，指向本機或遠端主機皆可，各服務模組一致適用。</w:t>
            </w:r>
          </w:p>
        </w:tc>
      </w:tr>
      <w:tr>
        <w:tc>
          <w:tcPr>
            <w:tcW w:type="dxa" w:w="737"/>
          </w:tcPr>
          <w:p>
            <w:pPr>
              <w:spacing w:after="0" w:line="276" w:lineRule="auto"/>
              <w:jc w:val="center"/>
            </w:pPr>
            <w:r/>
            <w:r>
              <w:rPr>
                <w:rFonts w:ascii="微軟正黑體" w:hAnsi="微軟正黑體" w:eastAsia="微軟正黑體"/>
                <w:b/>
                <w:sz w:val="19"/>
              </w:rPr>
              <w:t>4-5</w:t>
            </w:r>
          </w:p>
        </w:tc>
        <w:tc>
          <w:tcPr>
            <w:tcW w:type="dxa" w:w="2494"/>
          </w:tcPr>
          <w:p>
            <w:pPr>
              <w:spacing w:after="0" w:line="276" w:lineRule="auto"/>
            </w:pPr>
            <w:r/>
            <w:r>
              <w:rPr>
                <w:rFonts w:ascii="微軟正黑體" w:hAnsi="微軟正黑體" w:eastAsia="微軟正黑體"/>
                <w:b w:val="0"/>
                <w:sz w:val="19"/>
              </w:rPr>
              <w:t>透過 Modbus 通訊整合各大廠牌電錶及儀表</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支援 Modbus TCP 採集、多站號與完整資料型別，可對接各廠牌 Modbus 電錶與儀表；點位可線上新增修改，無須重啟服務。</w:t>
            </w:r>
          </w:p>
        </w:tc>
      </w:tr>
      <w:tr>
        <w:tc>
          <w:tcPr>
            <w:tcW w:type="dxa" w:w="737"/>
          </w:tcPr>
          <w:p>
            <w:pPr>
              <w:spacing w:after="0" w:line="276" w:lineRule="auto"/>
              <w:jc w:val="center"/>
            </w:pPr>
            <w:r/>
            <w:r>
              <w:rPr>
                <w:rFonts w:ascii="微軟正黑體" w:hAnsi="微軟正黑體" w:eastAsia="微軟正黑體"/>
                <w:b/>
                <w:sz w:val="19"/>
              </w:rPr>
              <w:t>4-6</w:t>
            </w:r>
          </w:p>
        </w:tc>
        <w:tc>
          <w:tcPr>
            <w:tcW w:type="dxa" w:w="2494"/>
          </w:tcPr>
          <w:p>
            <w:pPr>
              <w:spacing w:after="0" w:line="276" w:lineRule="auto"/>
            </w:pPr>
            <w:r/>
            <w:r>
              <w:rPr>
                <w:rFonts w:ascii="微軟正黑體" w:hAnsi="微軟正黑體" w:eastAsia="微軟正黑體"/>
                <w:b w:val="0"/>
                <w:sz w:val="19"/>
              </w:rPr>
              <w:t>支援 Web API 與 OPC 通訊，獲取外部資料或分享資料</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取得外部資料：可主動讀取外部 OPC UA 伺服器、外部資料庫與中央氣象署開放資料。分享資料：提供即時資料訂閱、對外 Modbus 閘道與唯讀點位查詢介面。差異：OPC 僅具備用戶端，未提供 OPC 伺服器端；對外亦無通用的 REST Web API。</w:t>
            </w:r>
          </w:p>
        </w:tc>
      </w:tr>
      <w:tr>
        <w:tc>
          <w:tcPr>
            <w:tcW w:type="dxa" w:w="737"/>
          </w:tcPr>
          <w:p>
            <w:pPr>
              <w:spacing w:after="0" w:line="276" w:lineRule="auto"/>
              <w:jc w:val="center"/>
            </w:pPr>
            <w:r/>
            <w:r>
              <w:rPr>
                <w:rFonts w:ascii="微軟正黑體" w:hAnsi="微軟正黑體" w:eastAsia="微軟正黑體"/>
                <w:b/>
                <w:sz w:val="19"/>
              </w:rPr>
              <w:t>4-7</w:t>
            </w:r>
          </w:p>
        </w:tc>
        <w:tc>
          <w:tcPr>
            <w:tcW w:type="dxa" w:w="2494"/>
          </w:tcPr>
          <w:p>
            <w:pPr>
              <w:spacing w:after="0" w:line="276" w:lineRule="auto"/>
            </w:pPr>
            <w:r/>
            <w:r>
              <w:rPr>
                <w:rFonts w:ascii="微軟正黑體" w:hAnsi="微軟正黑體" w:eastAsia="微軟正黑體"/>
                <w:b w:val="0"/>
                <w:sz w:val="19"/>
              </w:rPr>
              <w:t>使用者群組與個人帳號之權限控管</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具名個人帳號，瀏覽、操作、查詢、報表權限可逐頁授權，監控畫面另分「可檢視」與「可操作」。差異：無「自訂使用者群組」實體做群組繼承授權，權限須逐一帳號分派。</w:t>
            </w:r>
          </w:p>
        </w:tc>
      </w:tr>
      <w:tr>
        <w:tc>
          <w:tcPr>
            <w:tcW w:type="dxa" w:w="737"/>
          </w:tcPr>
          <w:p>
            <w:pPr>
              <w:spacing w:after="0" w:line="276" w:lineRule="auto"/>
              <w:jc w:val="center"/>
            </w:pPr>
            <w:r/>
            <w:r>
              <w:rPr>
                <w:rFonts w:ascii="微軟正黑體" w:hAnsi="微軟正黑體" w:eastAsia="微軟正黑體"/>
                <w:b/>
                <w:sz w:val="19"/>
              </w:rPr>
              <w:t>4-8</w:t>
            </w:r>
          </w:p>
        </w:tc>
        <w:tc>
          <w:tcPr>
            <w:tcW w:type="dxa" w:w="2494"/>
          </w:tcPr>
          <w:p>
            <w:pPr>
              <w:spacing w:after="0" w:line="276" w:lineRule="auto"/>
            </w:pPr>
            <w:r/>
            <w:r>
              <w:rPr>
                <w:rFonts w:ascii="微軟正黑體" w:hAnsi="微軟正黑體" w:eastAsia="微軟正黑體"/>
                <w:b w:val="0"/>
                <w:sz w:val="19"/>
              </w:rPr>
              <w:t>開放可擴展架構、個性化能源看板、外部圖形匯入、分眾呈現</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提供拖曳式自製看板與多種顯示元件，支援匯入外部圖檔與背景圖；不同帳號依權限看到不同畫面與不同能源卡片，可對廠務、主管、高階主管分眾呈現。</w:t>
            </w:r>
          </w:p>
        </w:tc>
      </w:tr>
      <w:tr>
        <w:tc>
          <w:tcPr>
            <w:tcW w:type="dxa" w:w="737"/>
          </w:tcPr>
          <w:p>
            <w:pPr>
              <w:spacing w:after="0" w:line="276" w:lineRule="auto"/>
              <w:jc w:val="center"/>
            </w:pPr>
            <w:r/>
            <w:r>
              <w:rPr>
                <w:rFonts w:ascii="微軟正黑體" w:hAnsi="微軟正黑體" w:eastAsia="微軟正黑體"/>
                <w:b/>
                <w:sz w:val="19"/>
              </w:rPr>
              <w:t>4-9</w:t>
            </w:r>
          </w:p>
        </w:tc>
        <w:tc>
          <w:tcPr>
            <w:tcW w:type="dxa" w:w="2494"/>
          </w:tcPr>
          <w:p>
            <w:pPr>
              <w:spacing w:after="0" w:line="276" w:lineRule="auto"/>
            </w:pPr>
            <w:r/>
            <w:r>
              <w:rPr>
                <w:rFonts w:ascii="微軟正黑體" w:hAnsi="微軟正黑體" w:eastAsia="微軟正黑體"/>
                <w:b w:val="0"/>
                <w:sz w:val="19"/>
              </w:rPr>
              <w:t>能耗多形式圖型化（圓餅圖、趨勢圖、即時排名、堆疊圖）</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圓餅圖、趨勢圖、堆疊長條圖皆具備。差異：「即時排名」無專屬元件，最接近者為指定期間用電量降冪排名，屬期間排名而非即時滾動排名。</w:t>
            </w:r>
          </w:p>
        </w:tc>
      </w:tr>
      <w:tr>
        <w:tc>
          <w:tcPr>
            <w:tcW w:type="dxa" w:w="737"/>
          </w:tcPr>
          <w:p>
            <w:pPr>
              <w:spacing w:after="0" w:line="276" w:lineRule="auto"/>
              <w:jc w:val="center"/>
            </w:pPr>
            <w:r/>
            <w:r>
              <w:rPr>
                <w:rFonts w:ascii="微軟正黑體" w:hAnsi="微軟正黑體" w:eastAsia="微軟正黑體"/>
                <w:b/>
                <w:sz w:val="19"/>
              </w:rPr>
              <w:t>4-10</w:t>
            </w:r>
          </w:p>
        </w:tc>
        <w:tc>
          <w:tcPr>
            <w:tcW w:type="dxa" w:w="2494"/>
          </w:tcPr>
          <w:p>
            <w:pPr>
              <w:spacing w:after="0" w:line="276" w:lineRule="auto"/>
            </w:pPr>
            <w:r/>
            <w:r>
              <w:rPr>
                <w:rFonts w:ascii="微軟正黑體" w:hAnsi="微軟正黑體" w:eastAsia="微軟正黑體"/>
                <w:b w:val="0"/>
                <w:sz w:val="19"/>
              </w:rPr>
              <w:t>數據對照分析（能耗對外氣溫度、產量、工時）</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能源基線功能即為能耗對關鍵變因的對照分析，可綁定外氣溫濕度、產量等變因，輸出迴歸係數、判定係數與散布圖，並可正規化扣除外生因素影響。</w:t>
            </w:r>
          </w:p>
        </w:tc>
      </w:tr>
      <w:tr>
        <w:tc>
          <w:tcPr>
            <w:tcW w:type="dxa" w:w="737"/>
          </w:tcPr>
          <w:p>
            <w:pPr>
              <w:spacing w:after="0" w:line="276" w:lineRule="auto"/>
              <w:jc w:val="center"/>
            </w:pPr>
            <w:r/>
            <w:r>
              <w:rPr>
                <w:rFonts w:ascii="微軟正黑體" w:hAnsi="微軟正黑體" w:eastAsia="微軟正黑體"/>
                <w:b/>
                <w:sz w:val="19"/>
              </w:rPr>
              <w:t>4-11</w:t>
            </w:r>
          </w:p>
        </w:tc>
        <w:tc>
          <w:tcPr>
            <w:tcW w:type="dxa" w:w="2494"/>
          </w:tcPr>
          <w:p>
            <w:pPr>
              <w:spacing w:after="0" w:line="276" w:lineRule="auto"/>
            </w:pPr>
            <w:r/>
            <w:r>
              <w:rPr>
                <w:rFonts w:ascii="微軟正黑體" w:hAnsi="微軟正黑體" w:eastAsia="微軟正黑體"/>
                <w:b w:val="0"/>
                <w:sz w:val="19"/>
              </w:rPr>
              <w:t>時段對照：指定迴路數據前後期對照分析</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用電報表與能源看板提供「本期對去年同期」的對照（差異值與增減百分比）。差異：目前限「去年同月」且為月粒度，無任意指定兩個期間互相對照的功能。</w:t>
            </w:r>
          </w:p>
        </w:tc>
      </w:tr>
      <w:tr>
        <w:tc>
          <w:tcPr>
            <w:tcW w:type="dxa" w:w="737"/>
          </w:tcPr>
          <w:p>
            <w:pPr>
              <w:spacing w:after="0" w:line="276" w:lineRule="auto"/>
              <w:jc w:val="center"/>
            </w:pPr>
            <w:r/>
            <w:r>
              <w:rPr>
                <w:rFonts w:ascii="微軟正黑體" w:hAnsi="微軟正黑體" w:eastAsia="微軟正黑體"/>
                <w:b/>
                <w:sz w:val="19"/>
              </w:rPr>
              <w:t>4-12</w:t>
            </w:r>
          </w:p>
        </w:tc>
        <w:tc>
          <w:tcPr>
            <w:tcW w:type="dxa" w:w="2494"/>
          </w:tcPr>
          <w:p>
            <w:pPr>
              <w:spacing w:after="0" w:line="276" w:lineRule="auto"/>
            </w:pPr>
            <w:r/>
            <w:r>
              <w:rPr>
                <w:rFonts w:ascii="微軟正黑體" w:hAnsi="微軟正黑體" w:eastAsia="微軟正黑體"/>
                <w:b w:val="0"/>
                <w:sz w:val="19"/>
              </w:rPr>
              <w:t>各點位數據依班別設定分段檢視</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可自訂班別（名稱、起訖時間、可跨日、適用星期，並自動檢查時間重疊）；電、水、氣三種用量報表均新增「班別」分段檢視，每列為日期×班別，跨日班歸屬起始日，未涵蓋時段自動列出以便合計對帳，並含長條圖與 Excel 匯出。說明：實作範圍為用量類點位（各班用量有明確歸屬語意）；瞬時數值（溫度、壓力）分段加總無意義故不納入。</w:t>
            </w:r>
          </w:p>
        </w:tc>
      </w:tr>
      <w:tr>
        <w:tc>
          <w:tcPr>
            <w:tcW w:type="dxa" w:w="737"/>
          </w:tcPr>
          <w:p>
            <w:pPr>
              <w:spacing w:after="0" w:line="276" w:lineRule="auto"/>
              <w:jc w:val="center"/>
            </w:pPr>
            <w:r/>
            <w:r>
              <w:rPr>
                <w:rFonts w:ascii="微軟正黑體" w:hAnsi="微軟正黑體" w:eastAsia="微軟正黑體"/>
                <w:b/>
                <w:sz w:val="19"/>
              </w:rPr>
              <w:t>4-13</w:t>
            </w:r>
          </w:p>
        </w:tc>
        <w:tc>
          <w:tcPr>
            <w:tcW w:type="dxa" w:w="2494"/>
          </w:tcPr>
          <w:p>
            <w:pPr>
              <w:spacing w:after="0" w:line="276" w:lineRule="auto"/>
            </w:pPr>
            <w:r/>
            <w:r>
              <w:rPr>
                <w:rFonts w:ascii="微軟正黑體" w:hAnsi="微軟正黑體" w:eastAsia="微軟正黑體"/>
                <w:b w:val="0"/>
                <w:sz w:val="19"/>
              </w:rPr>
              <w:t>內含腳本語言介面（VBScript）建立內部邏輯演算規則</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未採用 VBScript，改以視覺化邏輯流程圖、運算式計算點與使用者自訂演算法提供同等且更完整的自建邏輯演算能力，建議以等效替代方式應答。</w:t>
            </w:r>
          </w:p>
        </w:tc>
      </w:tr>
      <w:tr>
        <w:tc>
          <w:tcPr>
            <w:tcW w:type="dxa" w:w="737"/>
          </w:tcPr>
          <w:p>
            <w:pPr>
              <w:spacing w:after="0" w:line="276" w:lineRule="auto"/>
              <w:jc w:val="center"/>
            </w:pPr>
            <w:r/>
            <w:r>
              <w:rPr>
                <w:rFonts w:ascii="微軟正黑體" w:hAnsi="微軟正黑體" w:eastAsia="微軟正黑體"/>
                <w:b/>
                <w:sz w:val="19"/>
              </w:rPr>
              <w:t>4-14</w:t>
            </w:r>
          </w:p>
        </w:tc>
        <w:tc>
          <w:tcPr>
            <w:tcW w:type="dxa" w:w="2494"/>
          </w:tcPr>
          <w:p>
            <w:pPr>
              <w:spacing w:after="0" w:line="276" w:lineRule="auto"/>
            </w:pPr>
            <w:r/>
            <w:r>
              <w:rPr>
                <w:rFonts w:ascii="微軟正黑體" w:hAnsi="微軟正黑體" w:eastAsia="微軟正黑體"/>
                <w:b w:val="0"/>
                <w:sz w:val="19"/>
              </w:rPr>
              <w:t>需量即時顯示於看板，並可查詢指定期間最大需量與發生時間</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能源看板顯示今日即時需量、今日最高需量與全日趨勢；歷史查詢可指定任意期間檢視需量趨勢，統計含最大值並可匯出，最大需量發生時間可由明細定位。註：需量歷史自本功能上線後開始累積。</w:t>
            </w:r>
          </w:p>
        </w:tc>
      </w:tr>
      <w:tr>
        <w:tc>
          <w:tcPr>
            <w:tcW w:type="dxa" w:w="737"/>
          </w:tcPr>
          <w:p>
            <w:pPr>
              <w:spacing w:after="0" w:line="276" w:lineRule="auto"/>
              <w:jc w:val="center"/>
            </w:pPr>
            <w:r/>
            <w:r>
              <w:rPr>
                <w:rFonts w:ascii="微軟正黑體" w:hAnsi="微軟正黑體" w:eastAsia="微軟正黑體"/>
                <w:b/>
                <w:sz w:val="19"/>
              </w:rPr>
              <w:t>4-15</w:t>
            </w:r>
          </w:p>
        </w:tc>
        <w:tc>
          <w:tcPr>
            <w:tcW w:type="dxa" w:w="2494"/>
          </w:tcPr>
          <w:p>
            <w:pPr>
              <w:spacing w:after="0" w:line="276" w:lineRule="auto"/>
            </w:pPr>
            <w:r/>
            <w:r>
              <w:rPr>
                <w:rFonts w:ascii="微軟正黑體" w:hAnsi="微軟正黑體" w:eastAsia="微軟正黑體"/>
                <w:b w:val="0"/>
                <w:sz w:val="19"/>
              </w:rPr>
              <w:t>以契約容量作需量判斷基準、判定需量級距、不同級距不同措施</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需量值可直接作為控制與警報的判斷基準；多段級距可由多條不同門檻的規則達成，例如達契約容量 90% 發出通知、95% 卸載第一批、100% 卸載第二批，各級距可對應不同措施。差異：無「契約容量」專用設定欄位（門檻須以 kW 數值填入），亦無整合式「級距表」設定介面。</w:t>
            </w:r>
          </w:p>
        </w:tc>
      </w:tr>
      <w:tr>
        <w:tc>
          <w:tcPr>
            <w:tcW w:type="dxa" w:w="737"/>
          </w:tcPr>
          <w:p>
            <w:pPr>
              <w:spacing w:after="0" w:line="276" w:lineRule="auto"/>
              <w:jc w:val="center"/>
            </w:pPr>
            <w:r/>
            <w:r>
              <w:rPr>
                <w:rFonts w:ascii="微軟正黑體" w:hAnsi="微軟正黑體" w:eastAsia="微軟正黑體"/>
                <w:b/>
                <w:sz w:val="19"/>
              </w:rPr>
              <w:t>4-16</w:t>
            </w:r>
          </w:p>
        </w:tc>
        <w:tc>
          <w:tcPr>
            <w:tcW w:type="dxa" w:w="2494"/>
          </w:tcPr>
          <w:p>
            <w:pPr>
              <w:spacing w:after="0" w:line="276" w:lineRule="auto"/>
            </w:pPr>
            <w:r/>
            <w:r>
              <w:rPr>
                <w:rFonts w:ascii="微軟正黑體" w:hAnsi="微軟正黑體" w:eastAsia="微軟正黑體"/>
                <w:b w:val="0"/>
                <w:sz w:val="19"/>
              </w:rPr>
              <w:t>依需量級距執行對應工作（加卸載、數值變更、警報顯示與電子郵件）</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「需量超過門檻即動作」的鏈路完整：可自動輸出控制訊號做設備加卸載或數值變更，同時顯示警報於未恢復警報面板並留存記錄，並寄送電子郵件（另有 LINE 與簡訊）。差異：同 4-15，係以逐條門檻規則設定，未提供將多段門檻與對應動作打包成單一級距設定的介面。</w:t>
            </w:r>
          </w:p>
        </w:tc>
      </w:tr>
      <w:tr>
        <w:tc>
          <w:tcPr>
            <w:tcW w:type="dxa" w:w="737"/>
          </w:tcPr>
          <w:p>
            <w:pPr>
              <w:spacing w:after="0" w:line="276" w:lineRule="auto"/>
              <w:jc w:val="center"/>
            </w:pPr>
            <w:r/>
            <w:r>
              <w:rPr>
                <w:rFonts w:ascii="微軟正黑體" w:hAnsi="微軟正黑體" w:eastAsia="微軟正黑體"/>
                <w:b/>
                <w:sz w:val="19"/>
              </w:rPr>
              <w:t>4-17</w:t>
            </w:r>
          </w:p>
        </w:tc>
        <w:tc>
          <w:tcPr>
            <w:tcW w:type="dxa" w:w="2494"/>
          </w:tcPr>
          <w:p>
            <w:pPr>
              <w:spacing w:after="0" w:line="276" w:lineRule="auto"/>
            </w:pPr>
            <w:r/>
            <w:r>
              <w:rPr>
                <w:rFonts w:ascii="微軟正黑體" w:hAnsi="微軟正黑體" w:eastAsia="微軟正黑體"/>
                <w:b w:val="0"/>
                <w:sz w:val="19"/>
              </w:rPr>
              <w:t>即時與歷史趨勢圖、條件查詢、輸出 Excel（數值與圖形）</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即時滾動趨勢圖與歷史趨勢圖皆具備，可依時間範圍、多點位與取樣間隔條件查詢，並匯出 Excel（各點位分頁加統計摘要）。差異：Excel 匯出僅含數值，不含圖形。</w:t>
            </w:r>
          </w:p>
        </w:tc>
      </w:tr>
      <w:tr>
        <w:tc>
          <w:tcPr>
            <w:tcW w:type="dxa" w:w="737"/>
          </w:tcPr>
          <w:p>
            <w:pPr>
              <w:spacing w:after="0" w:line="276" w:lineRule="auto"/>
              <w:jc w:val="center"/>
            </w:pPr>
            <w:r/>
            <w:r>
              <w:rPr>
                <w:rFonts w:ascii="微軟正黑體" w:hAnsi="微軟正黑體" w:eastAsia="微軟正黑體"/>
                <w:b/>
                <w:sz w:val="19"/>
              </w:rPr>
              <w:t>4-18</w:t>
            </w:r>
          </w:p>
        </w:tc>
        <w:tc>
          <w:tcPr>
            <w:tcW w:type="dxa" w:w="2494"/>
          </w:tcPr>
          <w:p>
            <w:pPr>
              <w:spacing w:after="0" w:line="276" w:lineRule="auto"/>
            </w:pPr>
            <w:r/>
            <w:r>
              <w:rPr>
                <w:rFonts w:ascii="微軟正黑體" w:hAnsi="微軟正黑體" w:eastAsia="微軟正黑體"/>
                <w:b w:val="0"/>
                <w:sz w:val="19"/>
              </w:rPr>
              <w:t>系統報表可套用既定格式，置入系統數據</w:t>
            </w:r>
          </w:p>
        </w:tc>
        <w:tc>
          <w:tcPr>
            <w:tcW w:type="dxa" w:w="1077"/>
            <w:shd w:val="clear" w:color="auto" w:fill="E8F5EC"/>
          </w:tcPr>
          <w:p>
            <w:pPr>
              <w:spacing w:after="0" w:line="276" w:lineRule="auto"/>
              <w:jc w:val="center"/>
            </w:pPr>
            <w:r/>
            <w:r>
              <w:rPr>
                <w:rFonts w:ascii="微軟正黑體" w:hAnsi="微軟正黑體" w:eastAsia="微軟正黑體"/>
                <w:b/>
                <w:color w:val="1B6E3C"/>
                <w:sz w:val="19"/>
              </w:rPr>
              <w:t>符合</w:t>
            </w:r>
          </w:p>
        </w:tc>
        <w:tc>
          <w:tcPr>
            <w:tcW w:type="dxa" w:w="4762"/>
          </w:tcPr>
          <w:p>
            <w:pPr>
              <w:spacing w:after="0" w:line="276" w:lineRule="auto"/>
            </w:pPr>
            <w:r/>
            <w:r>
              <w:rPr>
                <w:rFonts w:ascii="微軟正黑體" w:hAnsi="微軟正黑體" w:eastAsia="微軟正黑體"/>
                <w:b w:val="0"/>
                <w:sz w:val="19"/>
              </w:rPr>
              <w:t>用電、電費、能源申報等報表皆採固定 Excel 版型（查詢條件區、資料明細、合計列），由系統自動置入數據。</w:t>
            </w:r>
          </w:p>
        </w:tc>
      </w:tr>
      <w:tr>
        <w:tc>
          <w:tcPr>
            <w:tcW w:type="dxa" w:w="737"/>
          </w:tcPr>
          <w:p>
            <w:pPr>
              <w:spacing w:after="0" w:line="276" w:lineRule="auto"/>
              <w:jc w:val="center"/>
            </w:pPr>
            <w:r/>
            <w:r>
              <w:rPr>
                <w:rFonts w:ascii="微軟正黑體" w:hAnsi="微軟正黑體" w:eastAsia="微軟正黑體"/>
                <w:b/>
                <w:sz w:val="19"/>
              </w:rPr>
              <w:t>4-19</w:t>
            </w:r>
          </w:p>
        </w:tc>
        <w:tc>
          <w:tcPr>
            <w:tcW w:type="dxa" w:w="2494"/>
          </w:tcPr>
          <w:p>
            <w:pPr>
              <w:spacing w:after="0" w:line="276" w:lineRule="auto"/>
            </w:pPr>
            <w:r/>
            <w:r>
              <w:rPr>
                <w:rFonts w:ascii="微軟正黑體" w:hAnsi="微軟正黑體" w:eastAsia="微軟正黑體"/>
                <w:b w:val="0"/>
                <w:sz w:val="19"/>
              </w:rPr>
              <w:t>即時與歷史警報、條件訊息自訂、系統事件紀錄（登入、通訊中斷）</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即時警報（未恢復警報面板）與歷史警報查詢皆具備；警報條件（門檻值、死區、嚴重度、狀態警報）可由使用者自訂。差異：警報訊息為在地化模板加備註欄，非完全自由文字；「使用者登入」與「通訊中斷」目前未納入事件紀錄查詢（通訊狀態以資料品質標示呈現）。</w:t>
            </w:r>
          </w:p>
        </w:tc>
      </w:tr>
      <w:tr>
        <w:tc>
          <w:tcPr>
            <w:tcW w:type="dxa" w:w="737"/>
          </w:tcPr>
          <w:p>
            <w:pPr>
              <w:spacing w:after="0" w:line="276" w:lineRule="auto"/>
              <w:jc w:val="center"/>
            </w:pPr>
            <w:r/>
            <w:r>
              <w:rPr>
                <w:rFonts w:ascii="微軟正黑體" w:hAnsi="微軟正黑體" w:eastAsia="微軟正黑體"/>
                <w:b/>
                <w:sz w:val="19"/>
              </w:rPr>
              <w:t>4-20</w:t>
            </w:r>
          </w:p>
        </w:tc>
        <w:tc>
          <w:tcPr>
            <w:tcW w:type="dxa" w:w="2494"/>
          </w:tcPr>
          <w:p>
            <w:pPr>
              <w:spacing w:after="0" w:line="276" w:lineRule="auto"/>
            </w:pPr>
            <w:r/>
            <w:r>
              <w:rPr>
                <w:rFonts w:ascii="微軟正黑體" w:hAnsi="微軟正黑體" w:eastAsia="微軟正黑體"/>
                <w:b w:val="0"/>
                <w:sz w:val="19"/>
              </w:rPr>
              <w:t>警報觸發以簡訊／電子郵件／LINE 通知，並可透過 Modbus 連動控制</w:t>
            </w:r>
          </w:p>
        </w:tc>
        <w:tc>
          <w:tcPr>
            <w:tcW w:type="dxa" w:w="1077"/>
            <w:shd w:val="clear" w:color="auto" w:fill="FDF3E3"/>
          </w:tcPr>
          <w:p>
            <w:pPr>
              <w:spacing w:after="0" w:line="276" w:lineRule="auto"/>
              <w:jc w:val="center"/>
            </w:pPr>
            <w:r/>
            <w:r>
              <w:rPr>
                <w:rFonts w:ascii="微軟正黑體" w:hAnsi="微軟正黑體" w:eastAsia="微軟正黑體"/>
                <w:b/>
                <w:color w:val="A16207"/>
                <w:sz w:val="19"/>
              </w:rPr>
              <w:t>部分符合</w:t>
            </w:r>
          </w:p>
        </w:tc>
        <w:tc>
          <w:tcPr>
            <w:tcW w:type="dxa" w:w="4762"/>
          </w:tcPr>
          <w:p>
            <w:pPr>
              <w:spacing w:after="0" w:line="276" w:lineRule="auto"/>
            </w:pPr>
            <w:r/>
            <w:r>
              <w:rPr>
                <w:rFonts w:ascii="微軟正黑體" w:hAnsi="微軟正黑體" w:eastAsia="微軟正黑體"/>
                <w:b w:val="0"/>
                <w:sz w:val="19"/>
              </w:rPr>
              <w:t>三種通知通道（LINE、電子郵件、簡訊）完整，各群組與號碼可個別選擇語言，觸發與恢復皆發送通知；系統亦具備 Modbus 輸出控制能力。差異：連動控制由獨立的「條件控制」機制依點位條件觸發，非由警報事件直接串接寫值；實務上對同一點位同時設定警報與條件控制即可涵蓋相同情境。</w:t>
            </w:r>
          </w:p>
        </w:tc>
      </w:tr>
    </w:tbl>
    <w:p/>
    <w:p>
      <w:pPr>
        <w:pStyle w:val="Heading1"/>
      </w:pPr>
      <w:r>
        <w:t>六、附註</w:t>
      </w:r>
    </w:p>
    <w:p>
      <w:pPr>
        <w:pStyle w:val="ListBullet"/>
        <w:spacing w:after="40"/>
        <w:ind w:left="425"/>
      </w:pPr>
      <w:r>
        <w:t>本比對僅涵蓋標案第 2、第 4 大項。第 1、3、5～10 大項屬硬體規格（比流器、伺服器、可程式控制器、電錶、網通設備、流量計、傳感器），第 11～21 項屬商務與施工條款，均不在軟體功能比對範圍。</w:t>
      </w:r>
    </w:p>
    <w:p>
      <w:pPr>
        <w:pStyle w:val="ListBullet"/>
        <w:spacing w:after="40"/>
        <w:ind w:left="425"/>
      </w:pPr>
      <w:r>
        <w:t>需量相關功能（2-1 超約卸載、4-14 歷史查詢、4-15、4-16 級距措施）已於 2026 年 9 月 24 日完成上線，需量值可直接驅動卸載控制、邏輯運算、警報與三通道通知。</w:t>
      </w:r>
    </w:p>
    <w:p>
      <w:pPr>
        <w:pStyle w:val="ListBullet"/>
        <w:spacing w:after="40"/>
        <w:ind w:left="425"/>
      </w:pPr>
      <w:r>
        <w:t>即時曲線功能已於 2026 年 9 月 29 日完成上線，監控畫面可呈現自動滾動的即時趨勢圖（2-7、2-8、2-9、4-17）。</w:t>
      </w:r>
    </w:p>
    <w:p>
      <w:pPr>
        <w:pStyle w:val="ListBullet"/>
        <w:spacing w:after="40"/>
        <w:ind w:left="425"/>
      </w:pPr>
      <w:r>
        <w:t>依班別分段檢視（4-12）已完成，電、水、氣三種用量報表均支援班別粒度。</w:t>
      </w:r>
    </w:p>
    <w:p>
      <w:pPr>
        <w:pStyle w:val="ListBullet"/>
        <w:spacing w:after="40"/>
        <w:ind w:left="425"/>
      </w:pPr>
      <w:r>
        <w:t>若投標須嚴格對應規格「級距」字面用語，建議補充說明現行以多條門檻規則達成的等效作法，或評估增設契約容量欄位與級距設定表。</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微軟正黑體" w:hAnsi="微軟正黑體"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eastAsia="微軟正黑體"/>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軟正黑體" w:hAnsi="微軟正黑體" w:eastAsia="微軟正黑體"/>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軟正黑體" w:hAnsi="微軟正黑體" w:eastAsia="微軟正黑體"/>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軟正黑體" w:hAnsi="微軟正黑體" w:eastAsia="微軟正黑體"/>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