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97" w:rsidRDefault="00FC5B97" w:rsidP="00FC5B97">
      <w:pPr>
        <w:pStyle w:val="Ttulo1"/>
        <w:rPr>
          <w:lang w:val="en-US"/>
        </w:rPr>
      </w:pPr>
      <w:r>
        <w:rPr>
          <w:lang w:val="en-US"/>
        </w:rPr>
        <w:t>SUPPLEMENTARY</w:t>
      </w:r>
      <w:r w:rsidRPr="0029415C">
        <w:rPr>
          <w:lang w:val="en-US"/>
        </w:rPr>
        <w:t xml:space="preserve"> MATERIAL</w:t>
      </w:r>
    </w:p>
    <w:p w:rsidR="00FC5B97" w:rsidRDefault="00FC5B97" w:rsidP="00FC5B97">
      <w:pPr>
        <w:pStyle w:val="TesisMariaPrueba1"/>
        <w:rPr>
          <w:lang w:val="en-US"/>
        </w:rPr>
      </w:pPr>
      <w:proofErr w:type="gramStart"/>
      <w:r w:rsidRPr="00A23548">
        <w:rPr>
          <w:b/>
          <w:lang w:val="en-US"/>
        </w:rPr>
        <w:t xml:space="preserve">Supplementary </w:t>
      </w:r>
      <w:r w:rsidR="00065A23">
        <w:rPr>
          <w:b/>
          <w:lang w:val="en-US"/>
        </w:rPr>
        <w:t>Table S1</w:t>
      </w:r>
      <w:r w:rsidRPr="00A23548">
        <w:rPr>
          <w:b/>
          <w:lang w:val="en-US"/>
        </w:rPr>
        <w:t>.</w:t>
      </w:r>
      <w:proofErr w:type="gramEnd"/>
      <w:r>
        <w:rPr>
          <w:lang w:val="en-US"/>
        </w:rPr>
        <w:t xml:space="preserve"> Summary of design characteristics of the clinical trials used either for model development or external validation.</w:t>
      </w:r>
    </w:p>
    <w:tbl>
      <w:tblPr>
        <w:tblpPr w:leftFromText="180" w:rightFromText="180" w:vertAnchor="page" w:horzAnchor="margin" w:tblpXSpec="center" w:tblpY="5463"/>
        <w:tblW w:w="1032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9"/>
        <w:gridCol w:w="1339"/>
        <w:gridCol w:w="2641"/>
        <w:gridCol w:w="2790"/>
        <w:gridCol w:w="2597"/>
      </w:tblGrid>
      <w:tr w:rsidR="00FC5B97" w:rsidRPr="00A23548" w:rsidTr="004550D5">
        <w:trPr>
          <w:trHeight w:val="298"/>
        </w:trPr>
        <w:tc>
          <w:tcPr>
            <w:tcW w:w="2298" w:type="dxa"/>
            <w:gridSpan w:val="2"/>
            <w:tcBorders>
              <w:top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="Cambria" w:hAnsi="Cambria"/>
                <w:b/>
                <w:bCs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543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sz w:val="24"/>
                <w:szCs w:val="24"/>
                <w:lang w:eastAsia="es-ES"/>
              </w:rPr>
              <w:t>MODEL DEVELOPMENT DATASET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sz w:val="24"/>
                <w:szCs w:val="24"/>
                <w:lang w:eastAsia="es-ES"/>
              </w:rPr>
              <w:t>VALIDATION DATASET</w:t>
            </w:r>
          </w:p>
        </w:tc>
      </w:tr>
      <w:tr w:rsidR="00FC5B97" w:rsidRPr="00A23548" w:rsidTr="004550D5">
        <w:trPr>
          <w:trHeight w:val="298"/>
        </w:trPr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Study</w:t>
            </w:r>
            <w:proofErr w:type="spellEnd"/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JEAL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JMES</w:t>
            </w:r>
          </w:p>
        </w:tc>
        <w:tc>
          <w:tcPr>
            <w:tcW w:w="259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</w:tr>
      <w:tr w:rsidR="00FC5B97" w:rsidRPr="00A23548" w:rsidTr="004550D5">
        <w:trPr>
          <w:trHeight w:val="298"/>
        </w:trPr>
        <w:tc>
          <w:tcPr>
            <w:tcW w:w="2298" w:type="dxa"/>
            <w:gridSpan w:val="2"/>
            <w:tcBorders>
              <w:top w:val="single" w:sz="8" w:space="0" w:color="auto"/>
              <w:left w:val="single" w:sz="4" w:space="0" w:color="auto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Phase</w:t>
            </w:r>
            <w:proofErr w:type="spellEnd"/>
          </w:p>
        </w:tc>
        <w:tc>
          <w:tcPr>
            <w:tcW w:w="2641" w:type="dxa"/>
            <w:tcBorders>
              <w:top w:val="single" w:sz="8" w:space="0" w:color="auto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II</w:t>
            </w:r>
          </w:p>
        </w:tc>
        <w:tc>
          <w:tcPr>
            <w:tcW w:w="2790" w:type="dxa"/>
            <w:tcBorders>
              <w:top w:val="single" w:sz="8" w:space="0" w:color="auto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III</w:t>
            </w:r>
          </w:p>
        </w:tc>
        <w:tc>
          <w:tcPr>
            <w:tcW w:w="2597" w:type="dxa"/>
            <w:tcBorders>
              <w:top w:val="single" w:sz="8" w:space="0" w:color="auto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III</w:t>
            </w:r>
          </w:p>
        </w:tc>
      </w:tr>
      <w:tr w:rsidR="00FC5B97" w:rsidRPr="00A23548" w:rsidTr="004550D5">
        <w:trPr>
          <w:trHeight w:val="595"/>
        </w:trPr>
        <w:tc>
          <w:tcPr>
            <w:tcW w:w="2298" w:type="dxa"/>
            <w:gridSpan w:val="2"/>
            <w:tcBorders>
              <w:top w:val="dashSmallGap" w:sz="4" w:space="0" w:color="7F7F7F"/>
              <w:left w:val="single" w:sz="4" w:space="0" w:color="auto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Design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Multicenter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randomized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,            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double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blinded</w:t>
            </w:r>
            <w:proofErr w:type="spellEnd"/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Multicenter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randomized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,               open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label</w:t>
            </w:r>
            <w:proofErr w:type="spellEnd"/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Multicenter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randomized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,            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double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blinded</w:t>
            </w:r>
            <w:proofErr w:type="spellEnd"/>
          </w:p>
        </w:tc>
      </w:tr>
      <w:tr w:rsidR="00FC5B97" w:rsidRPr="0051397B" w:rsidTr="004550D5">
        <w:trPr>
          <w:trHeight w:val="298"/>
        </w:trPr>
        <w:tc>
          <w:tcPr>
            <w:tcW w:w="2298" w:type="dxa"/>
            <w:gridSpan w:val="2"/>
            <w:tcBorders>
              <w:top w:val="dashSmallGap" w:sz="4" w:space="0" w:color="7F7F7F"/>
              <w:left w:val="single" w:sz="4" w:space="0" w:color="auto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Disease</w:t>
            </w:r>
            <w:proofErr w:type="spellEnd"/>
          </w:p>
        </w:tc>
        <w:tc>
          <w:tcPr>
            <w:tcW w:w="8028" w:type="dxa"/>
            <w:gridSpan w:val="3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r w:rsidRPr="00A23548">
              <w:rPr>
                <w:rFonts w:ascii="Cambria" w:hAnsi="Cambria"/>
                <w:color w:val="000000"/>
                <w:lang w:val="en-GB" w:eastAsia="es-ES"/>
              </w:rPr>
              <w:t>Locally advanced or metastatic pancreatic cancer</w:t>
            </w:r>
          </w:p>
        </w:tc>
      </w:tr>
      <w:tr w:rsidR="00FC5B97" w:rsidRPr="00A23548" w:rsidTr="004550D5">
        <w:trPr>
          <w:trHeight w:val="595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Dosing</w:t>
            </w:r>
            <w:proofErr w:type="spellEnd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 xml:space="preserve"> Schedule</w:t>
            </w:r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8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Dose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8" w:space="0" w:color="7F7F7F"/>
              <w:bottom w:val="dashSmallGap" w:sz="4" w:space="0" w:color="BFBFBF"/>
              <w:right w:val="dashSmallGap" w:sz="4" w:space="0" w:color="7F7F7F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Gemcitabine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i.v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infusion</w:t>
            </w:r>
            <w:proofErr w:type="spell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(30-60 min) 1000 mg/m</w:t>
            </w:r>
            <w:r w:rsidRPr="00A23548">
              <w:rPr>
                <w:rFonts w:ascii="Cambria" w:hAnsi="Cambria"/>
                <w:color w:val="000000"/>
                <w:vertAlign w:val="superscript"/>
                <w:lang w:eastAsia="es-ES"/>
              </w:rPr>
              <w:t>2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Gemcitabine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i.v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infusion</w:t>
            </w:r>
            <w:proofErr w:type="spell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(30-60 min) 1250 mg/m</w:t>
            </w:r>
            <w:r w:rsidRPr="00A23548">
              <w:rPr>
                <w:rFonts w:ascii="Cambria" w:hAnsi="Cambria"/>
                <w:color w:val="000000"/>
                <w:vertAlign w:val="superscript"/>
                <w:lang w:eastAsia="es-ES"/>
              </w:rPr>
              <w:t>2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Gemcitabine</w:t>
            </w:r>
            <w:proofErr w:type="spellEnd"/>
            <w:r w:rsidRPr="00A23548">
              <w:rPr>
                <w:rFonts w:ascii="Cambria" w:hAnsi="Cambria"/>
                <w:color w:val="000000"/>
                <w:lang w:eastAsia="es-ES"/>
              </w:rPr>
              <w:t xml:space="preserve"> i.v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infusion</w:t>
            </w:r>
            <w:proofErr w:type="spell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(30-60 min) 1000 mg/m</w:t>
            </w:r>
            <w:r w:rsidRPr="00A23548">
              <w:rPr>
                <w:rFonts w:ascii="Cambria" w:hAnsi="Cambria"/>
                <w:color w:val="000000"/>
                <w:vertAlign w:val="superscript"/>
                <w:lang w:eastAsia="es-ES"/>
              </w:rPr>
              <w:t>2</w:t>
            </w:r>
          </w:p>
        </w:tc>
      </w:tr>
      <w:tr w:rsidR="00FC5B97" w:rsidRPr="0051397B" w:rsidTr="004550D5">
        <w:trPr>
          <w:trHeight w:val="595"/>
        </w:trPr>
        <w:tc>
          <w:tcPr>
            <w:tcW w:w="966" w:type="dxa"/>
            <w:vMerge/>
            <w:tcBorders>
              <w:left w:val="single" w:sz="4" w:space="0" w:color="auto"/>
              <w:bottom w:val="dashSmallGap" w:sz="4" w:space="0" w:color="7F7F7F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7F7F7F"/>
              <w:right w:val="dashSmallGap" w:sz="8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Cycle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BFBFBF"/>
              <w:left w:val="dashSmallGap" w:sz="8" w:space="0" w:color="7F7F7F"/>
              <w:bottom w:val="dashSmallGap" w:sz="4" w:space="0" w:color="7F7F7F"/>
              <w:right w:val="dashSmallGap" w:sz="4" w:space="0" w:color="7F7F7F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proofErr w:type="gramStart"/>
            <w:r w:rsidRPr="00A23548">
              <w:rPr>
                <w:rFonts w:ascii="Cambria" w:hAnsi="Cambria"/>
                <w:color w:val="000000"/>
                <w:lang w:val="en-GB" w:eastAsia="es-ES"/>
              </w:rPr>
              <w:t>28 days/cycle.</w:t>
            </w:r>
            <w:proofErr w:type="gram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r w:rsidRPr="00A23548">
              <w:rPr>
                <w:rFonts w:ascii="Cambria" w:hAnsi="Cambria"/>
                <w:color w:val="000000"/>
                <w:lang w:val="en-GB" w:eastAsia="es-ES"/>
              </w:rPr>
              <w:t>Given once a week x3 + 1week rest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proofErr w:type="gramStart"/>
            <w:r w:rsidRPr="00A23548">
              <w:rPr>
                <w:rFonts w:ascii="Cambria" w:hAnsi="Cambria"/>
                <w:color w:val="000000"/>
                <w:lang w:val="en-GB" w:eastAsia="es-ES"/>
              </w:rPr>
              <w:t>21 days/cycle.</w:t>
            </w:r>
            <w:proofErr w:type="gram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r w:rsidRPr="00A23548">
              <w:rPr>
                <w:rFonts w:ascii="Cambria" w:hAnsi="Cambria"/>
                <w:color w:val="000000"/>
                <w:lang w:val="en-GB" w:eastAsia="es-ES"/>
              </w:rPr>
              <w:t>Given once a week x2 + 1week rest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proofErr w:type="gramStart"/>
            <w:r w:rsidRPr="00A23548">
              <w:rPr>
                <w:rFonts w:ascii="Cambria" w:hAnsi="Cambria"/>
                <w:color w:val="000000"/>
                <w:lang w:val="en-GB" w:eastAsia="es-ES"/>
              </w:rPr>
              <w:t>28 days/cycle.</w:t>
            </w:r>
            <w:proofErr w:type="gramEnd"/>
          </w:p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val="en-GB" w:eastAsia="es-ES"/>
              </w:rPr>
            </w:pPr>
            <w:r w:rsidRPr="00A23548">
              <w:rPr>
                <w:rFonts w:ascii="Cambria" w:hAnsi="Cambria"/>
                <w:color w:val="000000"/>
                <w:lang w:val="en-GB" w:eastAsia="es-ES"/>
              </w:rPr>
              <w:t>Given once a week x3 + 1week rest</w:t>
            </w:r>
          </w:p>
        </w:tc>
      </w:tr>
      <w:tr w:rsidR="00FC5B97" w:rsidRPr="00A23548" w:rsidTr="004550D5">
        <w:trPr>
          <w:trHeight w:val="298"/>
        </w:trPr>
        <w:tc>
          <w:tcPr>
            <w:tcW w:w="2298" w:type="dxa"/>
            <w:gridSpan w:val="2"/>
            <w:tcBorders>
              <w:top w:val="dashSmallGap" w:sz="4" w:space="0" w:color="7F7F7F"/>
              <w:left w:val="single" w:sz="4" w:space="0" w:color="auto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Duration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 xml:space="preserve">33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months</w:t>
            </w:r>
            <w:proofErr w:type="spellEnd"/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 xml:space="preserve">28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months</w:t>
            </w:r>
            <w:proofErr w:type="spellEnd"/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 xml:space="preserve">21 </w:t>
            </w:r>
            <w:proofErr w:type="spellStart"/>
            <w:r w:rsidRPr="00A23548">
              <w:rPr>
                <w:rFonts w:ascii="Cambria" w:hAnsi="Cambria"/>
                <w:color w:val="000000"/>
                <w:lang w:eastAsia="es-ES"/>
              </w:rPr>
              <w:t>months</w:t>
            </w:r>
            <w:proofErr w:type="spellEnd"/>
          </w:p>
        </w:tc>
      </w:tr>
      <w:tr w:rsidR="00FC5B97" w:rsidRPr="00A23548" w:rsidTr="004550D5">
        <w:trPr>
          <w:trHeight w:val="298"/>
        </w:trPr>
        <w:tc>
          <w:tcPr>
            <w:tcW w:w="2298" w:type="dxa"/>
            <w:gridSpan w:val="2"/>
            <w:tcBorders>
              <w:top w:val="dashSmallGap" w:sz="4" w:space="0" w:color="7F7F7F"/>
              <w:left w:val="single" w:sz="4" w:space="0" w:color="auto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Patients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58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227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275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Gender</w:t>
            </w:r>
            <w:proofErr w:type="spellEnd"/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Female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59%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46.50%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43%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bottom w:val="dashSmallGap" w:sz="4" w:space="0" w:color="7F7F7F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Male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41%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53.50%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57%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Age</w:t>
            </w:r>
            <w:proofErr w:type="spellEnd"/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Median</w:t>
            </w:r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62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63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61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bottom w:val="dashSmallGap" w:sz="4" w:space="0" w:color="7F7F7F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Range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34-85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28-82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34-86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Origin</w:t>
            </w:r>
            <w:proofErr w:type="spellEnd"/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Caucasian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92%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89.70%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bottom w:val="dashSmallGap" w:sz="4" w:space="0" w:color="7F7F7F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Other</w:t>
            </w:r>
            <w:proofErr w:type="spellEnd"/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8%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10.30%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7F7F7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ECOG PS</w:t>
            </w:r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0</w:t>
            </w:r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32%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31.60%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37%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FC5B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ontextualSpacing w:val="0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68%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68.40%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63%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 w:val="restart"/>
            <w:tcBorders>
              <w:top w:val="dashSmallGap" w:sz="4" w:space="0" w:color="7F7F7F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Disease</w:t>
            </w:r>
            <w:proofErr w:type="spellEnd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Stage</w:t>
            </w:r>
            <w:proofErr w:type="spellEnd"/>
          </w:p>
        </w:tc>
        <w:tc>
          <w:tcPr>
            <w:tcW w:w="1332" w:type="dxa"/>
            <w:tcBorders>
              <w:top w:val="dashSmallGap" w:sz="4" w:space="0" w:color="7F7F7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II</w:t>
            </w:r>
          </w:p>
        </w:tc>
        <w:tc>
          <w:tcPr>
            <w:tcW w:w="2641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2%</w:t>
            </w:r>
          </w:p>
        </w:tc>
        <w:tc>
          <w:tcPr>
            <w:tcW w:w="2790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  <w:tc>
          <w:tcPr>
            <w:tcW w:w="2597" w:type="dxa"/>
            <w:tcBorders>
              <w:top w:val="dashSmallGap" w:sz="4" w:space="0" w:color="7F7F7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6%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III</w:t>
            </w:r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9%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4%</w:t>
            </w:r>
          </w:p>
        </w:tc>
      </w:tr>
      <w:tr w:rsidR="00FC5B97" w:rsidRPr="00A23548" w:rsidTr="004550D5">
        <w:trPr>
          <w:trHeight w:val="253"/>
        </w:trPr>
        <w:tc>
          <w:tcPr>
            <w:tcW w:w="966" w:type="dxa"/>
            <w:vMerge/>
            <w:tcBorders>
              <w:left w:val="single" w:sz="4" w:space="0" w:color="auto"/>
              <w:bottom w:val="dashSmallGap" w:sz="4" w:space="0" w:color="808080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808080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IV</w:t>
            </w:r>
          </w:p>
        </w:tc>
        <w:tc>
          <w:tcPr>
            <w:tcW w:w="2641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808080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89%</w:t>
            </w:r>
          </w:p>
        </w:tc>
        <w:tc>
          <w:tcPr>
            <w:tcW w:w="2790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808080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91.10%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808080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90%</w:t>
            </w:r>
          </w:p>
        </w:tc>
      </w:tr>
      <w:tr w:rsidR="00FC5B97" w:rsidRPr="00A23548" w:rsidTr="004550D5">
        <w:trPr>
          <w:trHeight w:val="29"/>
        </w:trPr>
        <w:tc>
          <w:tcPr>
            <w:tcW w:w="966" w:type="dxa"/>
            <w:vMerge w:val="restart"/>
            <w:tcBorders>
              <w:top w:val="dashSmallGap" w:sz="4" w:space="0" w:color="808080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NODB</w:t>
            </w:r>
          </w:p>
        </w:tc>
        <w:tc>
          <w:tcPr>
            <w:tcW w:w="1332" w:type="dxa"/>
            <w:tcBorders>
              <w:top w:val="dashSmallGap" w:sz="4" w:space="0" w:color="808080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431" w:type="dxa"/>
            <w:gridSpan w:val="2"/>
            <w:tcBorders>
              <w:top w:val="dashSmallGap" w:sz="4" w:space="0" w:color="808080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48</w:t>
            </w:r>
            <w:r w:rsidR="00FC5B97" w:rsidRPr="00A23548">
              <w:rPr>
                <w:rFonts w:ascii="Cambria" w:hAnsi="Cambria"/>
                <w:color w:val="000000"/>
                <w:lang w:eastAsia="es-ES"/>
              </w:rPr>
              <w:t>%</w:t>
            </w:r>
          </w:p>
        </w:tc>
        <w:tc>
          <w:tcPr>
            <w:tcW w:w="2597" w:type="dxa"/>
            <w:tcBorders>
              <w:top w:val="dashSmallGap" w:sz="4" w:space="0" w:color="808080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42%</w:t>
            </w:r>
          </w:p>
        </w:tc>
      </w:tr>
      <w:tr w:rsidR="00FC5B97" w:rsidRPr="006D412B" w:rsidTr="004550D5">
        <w:trPr>
          <w:trHeight w:val="298"/>
        </w:trPr>
        <w:tc>
          <w:tcPr>
            <w:tcW w:w="966" w:type="dxa"/>
            <w:vMerge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401D72" w:rsidRDefault="00FC5B97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401D72">
              <w:rPr>
                <w:rFonts w:ascii="Cambria" w:hAnsi="Cambria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39</w:t>
            </w:r>
            <w:r w:rsidR="00FC5B97" w:rsidRPr="00A23548">
              <w:rPr>
                <w:rFonts w:ascii="Cambria" w:hAnsi="Cambria"/>
                <w:color w:val="000000"/>
                <w:lang w:eastAsia="es-ES"/>
              </w:rPr>
              <w:t>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 xml:space="preserve"> </w:t>
            </w:r>
            <w:r w:rsidR="00FC5B97" w:rsidRPr="00A23548">
              <w:rPr>
                <w:rFonts w:ascii="Cambria" w:hAnsi="Cambria"/>
                <w:color w:val="000000"/>
                <w:lang w:eastAsia="es-ES"/>
              </w:rPr>
              <w:t>58%</w:t>
            </w:r>
            <w:r>
              <w:rPr>
                <w:rFonts w:ascii="Cambria" w:hAnsi="Cambria"/>
                <w:color w:val="000000"/>
                <w:lang w:eastAsia="es-ES"/>
              </w:rPr>
              <w:t>*</w:t>
            </w:r>
          </w:p>
        </w:tc>
      </w:tr>
      <w:tr w:rsidR="00401D72" w:rsidRPr="00A23548" w:rsidTr="004550D5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6D412B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401D72" w:rsidRPr="00401D72" w:rsidRDefault="00401D72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>
              <w:rPr>
                <w:rFonts w:ascii="Cambria" w:hAnsi="Cambria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8%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*</w:t>
            </w:r>
          </w:p>
        </w:tc>
      </w:tr>
      <w:tr w:rsidR="00401D72" w:rsidRPr="00A23548" w:rsidTr="004550D5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401D72" w:rsidRPr="00401D72" w:rsidRDefault="00401D72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>
              <w:rPr>
                <w:rFonts w:ascii="Cambria" w:hAnsi="Cambria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3%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*</w:t>
            </w:r>
          </w:p>
        </w:tc>
      </w:tr>
      <w:tr w:rsidR="00401D72" w:rsidRPr="00A23548" w:rsidTr="004550D5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401D72" w:rsidRPr="00A23548" w:rsidRDefault="00401D72" w:rsidP="00FC5B9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ontextualSpacing w:val="0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>
              <w:rPr>
                <w:rFonts w:ascii="Cambria" w:hAnsi="Cambria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2%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*</w:t>
            </w:r>
          </w:p>
        </w:tc>
      </w:tr>
      <w:tr w:rsidR="00FC5B97" w:rsidRPr="00A23548" w:rsidTr="004550D5">
        <w:trPr>
          <w:trHeight w:val="298"/>
        </w:trPr>
        <w:tc>
          <w:tcPr>
            <w:tcW w:w="966" w:type="dxa"/>
            <w:tcBorders>
              <w:top w:val="dashSmallGap" w:sz="4" w:space="0" w:color="808080"/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NLSB</w:t>
            </w:r>
          </w:p>
        </w:tc>
        <w:tc>
          <w:tcPr>
            <w:tcW w:w="1332" w:type="dxa"/>
            <w:tcBorders>
              <w:top w:val="dashSmallGap" w:sz="4" w:space="0" w:color="808080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A23548" w:rsidRDefault="00FC5B97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A23548">
              <w:rPr>
                <w:rFonts w:ascii="Cambria" w:hAnsi="Cambria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431" w:type="dxa"/>
            <w:gridSpan w:val="2"/>
            <w:tcBorders>
              <w:top w:val="dashSmallGap" w:sz="4" w:space="0" w:color="808080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38%</w:t>
            </w:r>
          </w:p>
        </w:tc>
        <w:tc>
          <w:tcPr>
            <w:tcW w:w="2597" w:type="dxa"/>
            <w:tcBorders>
              <w:top w:val="dashSmallGap" w:sz="4" w:space="0" w:color="808080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FC5B97" w:rsidRPr="00A23548" w:rsidTr="00401D72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FC5B97" w:rsidRPr="00401D72" w:rsidRDefault="00FC5B97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401D72">
              <w:rPr>
                <w:rFonts w:ascii="Cambria" w:hAnsi="Cambria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FC5B97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27</w:t>
            </w:r>
            <w:r w:rsidR="00FC5B97" w:rsidRPr="00A23548">
              <w:rPr>
                <w:rFonts w:ascii="Cambria" w:hAnsi="Cambria"/>
                <w:color w:val="000000"/>
                <w:lang w:eastAsia="es-ES"/>
              </w:rPr>
              <w:t>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401D72" w:rsidRPr="00A23548" w:rsidTr="00401D72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401D72" w:rsidRPr="00401D72" w:rsidRDefault="00401D72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 w:rsidRPr="00401D72">
              <w:rPr>
                <w:rFonts w:ascii="Cambria" w:hAnsi="Cambria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16%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401D72" w:rsidRPr="00A23548" w:rsidTr="00401D72">
        <w:trPr>
          <w:trHeight w:val="298"/>
        </w:trPr>
        <w:tc>
          <w:tcPr>
            <w:tcW w:w="966" w:type="dxa"/>
            <w:tcBorders>
              <w:left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dashSmallGap" w:sz="4" w:space="0" w:color="BFBFBF"/>
              <w:right w:val="dashSmallGap" w:sz="4" w:space="0" w:color="7F7F7F"/>
            </w:tcBorders>
            <w:noWrap/>
            <w:vAlign w:val="center"/>
          </w:tcPr>
          <w:p w:rsidR="00401D72" w:rsidRPr="00401D72" w:rsidRDefault="00401D72" w:rsidP="00401D7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>
              <w:rPr>
                <w:rFonts w:ascii="Cambria" w:hAnsi="Cambria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10%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dashSmallGap" w:sz="4" w:space="0" w:color="BFBFBF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  <w:tr w:rsidR="00401D72" w:rsidRPr="00A23548" w:rsidTr="004550D5">
        <w:trPr>
          <w:trHeight w:val="298"/>
        </w:trPr>
        <w:tc>
          <w:tcPr>
            <w:tcW w:w="966" w:type="dxa"/>
            <w:tcBorders>
              <w:left w:val="single" w:sz="4" w:space="0" w:color="auto"/>
              <w:bottom w:val="single" w:sz="4" w:space="0" w:color="auto"/>
              <w:right w:val="dashSmallGap" w:sz="8" w:space="0" w:color="D9D9D9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dashSmallGap" w:sz="4" w:space="0" w:color="BFBFBF"/>
              <w:left w:val="dashSmallGap" w:sz="8" w:space="0" w:color="D9D9D9"/>
              <w:bottom w:val="single" w:sz="4" w:space="0" w:color="auto"/>
              <w:right w:val="dashSmallGap" w:sz="4" w:space="0" w:color="7F7F7F"/>
            </w:tcBorders>
            <w:noWrap/>
            <w:vAlign w:val="center"/>
          </w:tcPr>
          <w:p w:rsidR="00401D72" w:rsidRPr="00A23548" w:rsidRDefault="00401D72" w:rsidP="00FC5B9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ontextualSpacing w:val="0"/>
              <w:jc w:val="center"/>
              <w:rPr>
                <w:rFonts w:ascii="Cambria" w:hAnsi="Cambria"/>
                <w:b/>
                <w:bCs/>
                <w:color w:val="000000"/>
                <w:lang w:eastAsia="es-ES"/>
              </w:rPr>
            </w:pPr>
            <w:r>
              <w:rPr>
                <w:rFonts w:ascii="Cambria" w:hAnsi="Cambria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5431" w:type="dxa"/>
            <w:gridSpan w:val="2"/>
            <w:tcBorders>
              <w:top w:val="dashSmallGap" w:sz="4" w:space="0" w:color="BFBFBF"/>
              <w:left w:val="dashSmallGap" w:sz="4" w:space="0" w:color="7F7F7F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1D72" w:rsidRPr="00A23548" w:rsidRDefault="00401D72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>
              <w:rPr>
                <w:rFonts w:ascii="Cambria" w:hAnsi="Cambria"/>
                <w:color w:val="000000"/>
                <w:lang w:eastAsia="es-ES"/>
              </w:rPr>
              <w:t>9%</w:t>
            </w:r>
          </w:p>
        </w:tc>
        <w:tc>
          <w:tcPr>
            <w:tcW w:w="2597" w:type="dxa"/>
            <w:tcBorders>
              <w:top w:val="dashSmallGap" w:sz="4" w:space="0" w:color="BFBFBF"/>
              <w:left w:val="dashSmallGap" w:sz="4" w:space="0" w:color="7F7F7F"/>
              <w:bottom w:val="single" w:sz="4" w:space="0" w:color="auto"/>
              <w:right w:val="single" w:sz="4" w:space="0" w:color="auto"/>
            </w:tcBorders>
            <w:vAlign w:val="center"/>
          </w:tcPr>
          <w:p w:rsidR="00401D72" w:rsidRPr="00A23548" w:rsidRDefault="006D412B" w:rsidP="004550D5">
            <w:pPr>
              <w:spacing w:after="0" w:line="240" w:lineRule="auto"/>
              <w:jc w:val="center"/>
              <w:rPr>
                <w:rFonts w:ascii="Cambria" w:hAnsi="Cambria"/>
                <w:color w:val="000000"/>
                <w:lang w:eastAsia="es-ES"/>
              </w:rPr>
            </w:pPr>
            <w:r w:rsidRPr="00A23548">
              <w:rPr>
                <w:rFonts w:ascii="Cambria" w:hAnsi="Cambria"/>
                <w:color w:val="000000"/>
                <w:lang w:eastAsia="es-ES"/>
              </w:rPr>
              <w:t>N.R</w:t>
            </w:r>
          </w:p>
        </w:tc>
      </w:tr>
    </w:tbl>
    <w:p w:rsidR="00FC5B97" w:rsidRDefault="00FC5B97" w:rsidP="00FC5B97">
      <w:pPr>
        <w:pStyle w:val="TesisMariaPrueba1"/>
        <w:rPr>
          <w:lang w:val="en-US"/>
        </w:rPr>
      </w:pPr>
      <w:r>
        <w:rPr>
          <w:lang w:val="en-US"/>
        </w:rPr>
        <w:t xml:space="preserve">The overall survival data presented in Wendling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al</w:t>
      </w:r>
      <w:r w:rsidRPr="003534B0">
        <w:rPr>
          <w:vertAlign w:val="superscript"/>
          <w:lang w:val="en-US"/>
        </w:rPr>
        <w:t>1</w:t>
      </w:r>
      <w:r>
        <w:rPr>
          <w:lang w:val="en-US"/>
        </w:rPr>
        <w:t>, and used for validation purposes, correspond to the control arm of a Phase III study</w:t>
      </w:r>
      <w:r w:rsidRPr="003534B0">
        <w:rPr>
          <w:vertAlign w:val="superscript"/>
          <w:lang w:val="en-US"/>
        </w:rPr>
        <w:t>2</w:t>
      </w:r>
      <w:r>
        <w:rPr>
          <w:lang w:val="en-US"/>
        </w:rPr>
        <w:t xml:space="preserve">, in which patients with advanced metastatic pancreatic cancer, were treated with either gemcitabine + </w:t>
      </w:r>
      <w:proofErr w:type="spellStart"/>
      <w:r>
        <w:rPr>
          <w:lang w:val="en-US"/>
        </w:rPr>
        <w:t>aflibercept</w:t>
      </w:r>
      <w:proofErr w:type="spellEnd"/>
      <w:r>
        <w:rPr>
          <w:lang w:val="en-US"/>
        </w:rPr>
        <w:t xml:space="preserve"> or gemcitabine plus placebo (treatment arm analyzed by Wendling et al-). </w:t>
      </w:r>
    </w:p>
    <w:p w:rsidR="00FC5B97" w:rsidRDefault="00FC5B97" w:rsidP="00FC5B97">
      <w:pPr>
        <w:rPr>
          <w:lang w:val="en-US"/>
        </w:rPr>
      </w:pPr>
    </w:p>
    <w:p w:rsidR="00FC5B97" w:rsidRDefault="00FC5B97" w:rsidP="00FC5B97">
      <w:pPr>
        <w:pStyle w:val="TesisMariaPrueba1"/>
        <w:ind w:firstLine="0"/>
        <w:rPr>
          <w:lang w:val="en-US"/>
        </w:rPr>
      </w:pPr>
      <w:r w:rsidRPr="00A82661">
        <w:rPr>
          <w:lang w:val="en-GB"/>
        </w:rPr>
        <w:t>ECOG=Eastern Cooperative Oncology Group; PS=Performance Status</w:t>
      </w:r>
      <w:r>
        <w:rPr>
          <w:lang w:val="en-GB"/>
        </w:rPr>
        <w:t>; NODB=</w:t>
      </w:r>
      <w:r>
        <w:rPr>
          <w:lang w:val="en-US"/>
        </w:rPr>
        <w:t>Number of organs damaged with tumour lesions at baseline</w:t>
      </w:r>
      <w:r>
        <w:rPr>
          <w:lang w:val="en-GB"/>
        </w:rPr>
        <w:t>; NLSB=</w:t>
      </w:r>
      <w:r>
        <w:rPr>
          <w:lang w:val="en-US"/>
        </w:rPr>
        <w:t>Number of tumour lesions at baseline;</w:t>
      </w:r>
      <w:r>
        <w:rPr>
          <w:lang w:val="en-GB"/>
        </w:rPr>
        <w:t xml:space="preserve"> N.R=Not Reported</w:t>
      </w:r>
      <w:r w:rsidR="006D412B">
        <w:rPr>
          <w:lang w:val="en-GB"/>
        </w:rPr>
        <w:t xml:space="preserve">. * The number of organs damaged in the validation dataset was reported in two categories; (i) for 1 or (ii) for 2 or more lesions. </w:t>
      </w:r>
    </w:p>
    <w:p w:rsidR="00FC5B97" w:rsidRDefault="00FC5B97" w:rsidP="00FC5B97">
      <w:pPr>
        <w:pStyle w:val="Ttulo2"/>
      </w:pPr>
      <w:bookmarkStart w:id="0" w:name="_Toc492040684"/>
      <w:r>
        <w:t>References Supplementary File I</w:t>
      </w:r>
      <w:bookmarkEnd w:id="0"/>
    </w:p>
    <w:p w:rsidR="00FC5B97" w:rsidRPr="0051397B" w:rsidRDefault="00FC5B97" w:rsidP="00FC5B97">
      <w:pPr>
        <w:pStyle w:val="TesisMariaPrueba1"/>
        <w:rPr>
          <w:lang w:val="en-US"/>
        </w:rPr>
      </w:pPr>
      <w:r w:rsidRPr="0051397B">
        <w:rPr>
          <w:lang w:val="en-US"/>
        </w:rPr>
        <w:t xml:space="preserve">Wendling T, Mistry H, </w:t>
      </w:r>
      <w:proofErr w:type="spellStart"/>
      <w:r w:rsidRPr="0051397B">
        <w:rPr>
          <w:lang w:val="en-US"/>
        </w:rPr>
        <w:t>Ogungbenro</w:t>
      </w:r>
      <w:proofErr w:type="spellEnd"/>
      <w:r w:rsidRPr="0051397B">
        <w:rPr>
          <w:lang w:val="en-US"/>
        </w:rPr>
        <w:t xml:space="preserve"> K, Aarons L. (2016) Predicting survival of pancreatic cancer patients treated with gemcitabine using longitudinal tumour size data. Cancer </w:t>
      </w:r>
      <w:proofErr w:type="spellStart"/>
      <w:r w:rsidRPr="0051397B">
        <w:rPr>
          <w:lang w:val="en-US"/>
        </w:rPr>
        <w:t>Chemother</w:t>
      </w:r>
      <w:proofErr w:type="spellEnd"/>
      <w:r w:rsidRPr="0051397B">
        <w:rPr>
          <w:lang w:val="en-US"/>
        </w:rPr>
        <w:t xml:space="preserve"> Pharmacol (2016) 77:927–938</w:t>
      </w:r>
    </w:p>
    <w:p w:rsidR="00FC5B97" w:rsidRDefault="00FC5B97" w:rsidP="00FC5B97">
      <w:pPr>
        <w:pStyle w:val="TesisMariaPrueba1"/>
        <w:rPr>
          <w:lang w:val="en-US"/>
        </w:rPr>
      </w:pPr>
      <w:proofErr w:type="spellStart"/>
      <w:r w:rsidRPr="003534B0">
        <w:rPr>
          <w:lang w:val="en-US"/>
        </w:rPr>
        <w:t>Rougier</w:t>
      </w:r>
      <w:proofErr w:type="spellEnd"/>
      <w:r w:rsidRPr="003534B0">
        <w:rPr>
          <w:lang w:val="en-US"/>
        </w:rPr>
        <w:t xml:space="preserve"> P, </w:t>
      </w:r>
      <w:proofErr w:type="spellStart"/>
      <w:r w:rsidRPr="003534B0">
        <w:rPr>
          <w:lang w:val="en-US"/>
        </w:rPr>
        <w:t>Riess</w:t>
      </w:r>
      <w:proofErr w:type="spellEnd"/>
      <w:r w:rsidRPr="003534B0">
        <w:rPr>
          <w:lang w:val="en-US"/>
        </w:rPr>
        <w:t xml:space="preserve"> H, </w:t>
      </w:r>
      <w:proofErr w:type="spellStart"/>
      <w:r w:rsidRPr="003534B0">
        <w:rPr>
          <w:lang w:val="en-US"/>
        </w:rPr>
        <w:t>Manges</w:t>
      </w:r>
      <w:proofErr w:type="spellEnd"/>
      <w:r w:rsidRPr="003534B0">
        <w:rPr>
          <w:lang w:val="en-US"/>
        </w:rPr>
        <w:t xml:space="preserve"> R, </w:t>
      </w:r>
      <w:proofErr w:type="spellStart"/>
      <w:r w:rsidRPr="003534B0">
        <w:rPr>
          <w:lang w:val="en-US"/>
        </w:rPr>
        <w:t>Karasek</w:t>
      </w:r>
      <w:proofErr w:type="spellEnd"/>
      <w:r w:rsidRPr="003534B0">
        <w:rPr>
          <w:lang w:val="en-US"/>
        </w:rPr>
        <w:t xml:space="preserve"> P, </w:t>
      </w:r>
      <w:proofErr w:type="spellStart"/>
      <w:r w:rsidRPr="003534B0">
        <w:rPr>
          <w:lang w:val="en-US"/>
        </w:rPr>
        <w:t>Humblet</w:t>
      </w:r>
      <w:proofErr w:type="spellEnd"/>
      <w:r w:rsidRPr="003534B0">
        <w:rPr>
          <w:lang w:val="en-US"/>
        </w:rPr>
        <w:t xml:space="preserve"> Y, Barone C, Santoro A, </w:t>
      </w:r>
      <w:proofErr w:type="spellStart"/>
      <w:r w:rsidRPr="003534B0">
        <w:rPr>
          <w:lang w:val="en-US"/>
        </w:rPr>
        <w:t>Assadourian</w:t>
      </w:r>
      <w:proofErr w:type="spellEnd"/>
      <w:r w:rsidRPr="003534B0">
        <w:rPr>
          <w:lang w:val="en-US"/>
        </w:rPr>
        <w:t xml:space="preserve"> S, </w:t>
      </w:r>
      <w:proofErr w:type="spellStart"/>
      <w:r w:rsidRPr="003534B0">
        <w:rPr>
          <w:lang w:val="en-US"/>
        </w:rPr>
        <w:t>Hatteville</w:t>
      </w:r>
      <w:proofErr w:type="spellEnd"/>
      <w:r w:rsidRPr="003534B0">
        <w:rPr>
          <w:lang w:val="en-US"/>
        </w:rPr>
        <w:t xml:space="preserve"> L, Philip PA (2013) </w:t>
      </w:r>
      <w:proofErr w:type="spellStart"/>
      <w:r w:rsidRPr="003534B0">
        <w:rPr>
          <w:lang w:val="en-US"/>
        </w:rPr>
        <w:t>Randomised</w:t>
      </w:r>
      <w:proofErr w:type="spellEnd"/>
      <w:r w:rsidRPr="003534B0">
        <w:rPr>
          <w:lang w:val="en-US"/>
        </w:rPr>
        <w:t xml:space="preserve">, placebo-controlled, double-blind, parallel-group </w:t>
      </w:r>
      <w:proofErr w:type="spellStart"/>
      <w:r w:rsidRPr="003534B0">
        <w:rPr>
          <w:lang w:val="en-US"/>
        </w:rPr>
        <w:t>phaseIII</w:t>
      </w:r>
      <w:proofErr w:type="spellEnd"/>
      <w:r w:rsidRPr="003534B0">
        <w:rPr>
          <w:lang w:val="en-US"/>
        </w:rPr>
        <w:t xml:space="preserve"> study evaluating </w:t>
      </w:r>
      <w:proofErr w:type="spellStart"/>
      <w:r w:rsidRPr="003534B0">
        <w:rPr>
          <w:lang w:val="en-US"/>
        </w:rPr>
        <w:t>aflibercept</w:t>
      </w:r>
      <w:proofErr w:type="spellEnd"/>
      <w:r w:rsidRPr="003534B0">
        <w:rPr>
          <w:lang w:val="en-US"/>
        </w:rPr>
        <w:t xml:space="preserve"> in patients receiving first-line treatment with gemcitabine for metastatic pancreatic cancer. </w:t>
      </w:r>
      <w:proofErr w:type="spellStart"/>
      <w:r w:rsidRPr="003534B0">
        <w:rPr>
          <w:lang w:val="en-US"/>
        </w:rPr>
        <w:t>Eur</w:t>
      </w:r>
      <w:proofErr w:type="spellEnd"/>
      <w:r w:rsidRPr="003534B0">
        <w:rPr>
          <w:lang w:val="en-US"/>
        </w:rPr>
        <w:t xml:space="preserve"> J </w:t>
      </w:r>
      <w:proofErr w:type="gramStart"/>
      <w:r w:rsidRPr="003534B0">
        <w:rPr>
          <w:lang w:val="en-US"/>
        </w:rPr>
        <w:t>Cancer  49</w:t>
      </w:r>
      <w:proofErr w:type="gramEnd"/>
      <w:r w:rsidRPr="003534B0">
        <w:rPr>
          <w:lang w:val="en-US"/>
        </w:rPr>
        <w:t>(12):2633–2642</w:t>
      </w:r>
    </w:p>
    <w:p w:rsidR="00FC5B97" w:rsidRDefault="00FC5B97" w:rsidP="00FC5B97">
      <w:pPr>
        <w:jc w:val="left"/>
        <w:rPr>
          <w:rFonts w:ascii="Cambria" w:hAnsi="Cambria"/>
          <w:b/>
          <w:sz w:val="22"/>
          <w:lang w:val="en-US"/>
        </w:rPr>
      </w:pPr>
      <w:r>
        <w:rPr>
          <w:b/>
          <w:lang w:val="en-US"/>
        </w:rPr>
        <w:br w:type="page"/>
      </w:r>
    </w:p>
    <w:p w:rsidR="00FC5B97" w:rsidRDefault="00FC5B97" w:rsidP="00FC5B97">
      <w:pPr>
        <w:pStyle w:val="TesisMariaPrueba1"/>
        <w:rPr>
          <w:lang w:val="en-US"/>
        </w:rPr>
      </w:pPr>
      <w:r w:rsidRPr="00A23548">
        <w:rPr>
          <w:b/>
          <w:lang w:val="en-US"/>
        </w:rPr>
        <w:lastRenderedPageBreak/>
        <w:t xml:space="preserve">Supplementary </w:t>
      </w:r>
      <w:r w:rsidR="00065A23">
        <w:rPr>
          <w:b/>
          <w:lang w:val="en-US"/>
        </w:rPr>
        <w:t>Table S2</w:t>
      </w:r>
      <w:r w:rsidRPr="00A23548">
        <w:rPr>
          <w:b/>
          <w:lang w:val="en-US"/>
        </w:rPr>
        <w:t>.</w:t>
      </w:r>
      <w:r w:rsidRPr="0029415C">
        <w:rPr>
          <w:lang w:val="en-US"/>
        </w:rPr>
        <w:t xml:space="preserve"> </w:t>
      </w:r>
      <w:r w:rsidRPr="00A82661">
        <w:rPr>
          <w:lang w:val="en-US"/>
        </w:rPr>
        <w:t>Summary of model development based on -2LL values</w:t>
      </w:r>
    </w:p>
    <w:tbl>
      <w:tblPr>
        <w:tblW w:w="8620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5080"/>
        <w:gridCol w:w="1620"/>
      </w:tblGrid>
      <w:tr w:rsidR="00FC5B97" w:rsidRPr="00A23548" w:rsidTr="004550D5">
        <w:trPr>
          <w:trHeight w:val="335"/>
        </w:trPr>
        <w:tc>
          <w:tcPr>
            <w:tcW w:w="7000" w:type="dxa"/>
            <w:gridSpan w:val="2"/>
            <w:tcBorders>
              <w:top w:val="single" w:sz="18" w:space="0" w:color="000000"/>
              <w:left w:val="single" w:sz="8" w:space="0" w:color="FFFFFF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35" w:lineRule="atLeas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</w:rPr>
              <w:t>Model</w:t>
            </w:r>
            <w:proofErr w:type="spellEnd"/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</w:rPr>
              <w:t xml:space="preserve"> </w:t>
            </w:r>
            <w:proofErr w:type="spellStart"/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</w:rPr>
              <w:t>Description</w:t>
            </w:r>
            <w:proofErr w:type="spellEnd"/>
          </w:p>
        </w:tc>
        <w:tc>
          <w:tcPr>
            <w:tcW w:w="162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FC5B97" w:rsidRPr="00A23548" w:rsidRDefault="00FC5B97" w:rsidP="004550D5">
            <w:pPr>
              <w:spacing w:after="0" w:line="335" w:lineRule="atLeast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</w:rPr>
              <w:t>-2LL</w:t>
            </w:r>
          </w:p>
        </w:tc>
      </w:tr>
      <w:tr w:rsidR="00FC5B97" w:rsidRPr="00A23548" w:rsidTr="004550D5">
        <w:trPr>
          <w:trHeight w:val="325"/>
        </w:trPr>
        <w:tc>
          <w:tcPr>
            <w:tcW w:w="1920" w:type="dxa"/>
            <w:vMerge w:val="restart"/>
            <w:tcBorders>
              <w:top w:val="single" w:sz="18" w:space="0" w:color="000000"/>
              <w:left w:val="single" w:sz="8" w:space="0" w:color="FFFFFF"/>
              <w:bottom w:val="single" w:sz="8" w:space="0" w:color="7F7F7F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C5B97" w:rsidRPr="00A23548" w:rsidRDefault="00FC5B97" w:rsidP="004550D5">
            <w:pPr>
              <w:spacing w:after="0" w:line="325" w:lineRule="atLeast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 xml:space="preserve">OS </w:t>
            </w:r>
            <w:proofErr w:type="spellStart"/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Model</w:t>
            </w:r>
            <w:proofErr w:type="spellEnd"/>
          </w:p>
        </w:tc>
        <w:tc>
          <w:tcPr>
            <w:tcW w:w="508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Exponential</w:t>
            </w:r>
            <w:proofErr w:type="spellEnd"/>
          </w:p>
        </w:tc>
        <w:tc>
          <w:tcPr>
            <w:tcW w:w="1620" w:type="dxa"/>
            <w:tcBorders>
              <w:top w:val="single" w:sz="18" w:space="0" w:color="000000"/>
              <w:left w:val="nil"/>
              <w:bottom w:val="nil"/>
              <w:right w:val="single" w:sz="8" w:space="0" w:color="FFFFFF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2652.019</w:t>
            </w:r>
          </w:p>
        </w:tc>
      </w:tr>
      <w:tr w:rsidR="00FC5B97" w:rsidRPr="00A23548" w:rsidTr="004550D5">
        <w:trPr>
          <w:trHeight w:val="325"/>
        </w:trPr>
        <w:tc>
          <w:tcPr>
            <w:tcW w:w="0" w:type="auto"/>
            <w:vMerge/>
            <w:tcBorders>
              <w:top w:val="single" w:sz="18" w:space="0" w:color="000000"/>
              <w:left w:val="single" w:sz="8" w:space="0" w:color="FFFFFF"/>
              <w:bottom w:val="single" w:sz="8" w:space="0" w:color="7F7F7F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Gompertz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2576.734 </w:t>
            </w:r>
          </w:p>
        </w:tc>
      </w:tr>
      <w:tr w:rsidR="00FC5B97" w:rsidRPr="00A23548" w:rsidTr="004550D5">
        <w:trPr>
          <w:trHeight w:val="325"/>
        </w:trPr>
        <w:tc>
          <w:tcPr>
            <w:tcW w:w="0" w:type="auto"/>
            <w:vMerge/>
            <w:tcBorders>
              <w:top w:val="single" w:sz="18" w:space="0" w:color="000000"/>
              <w:left w:val="single" w:sz="8" w:space="0" w:color="FFFFFF"/>
              <w:bottom w:val="single" w:sz="8" w:space="0" w:color="7F7F7F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Weibull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7F7F7F"/>
              <w:right w:val="single" w:sz="8" w:space="0" w:color="FFFFFF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325" w:lineRule="atLeast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2523.067</w:t>
            </w:r>
          </w:p>
        </w:tc>
      </w:tr>
      <w:tr w:rsidR="00FC5B97" w:rsidRPr="00A23548" w:rsidTr="004550D5">
        <w:trPr>
          <w:trHeight w:val="738"/>
        </w:trPr>
        <w:tc>
          <w:tcPr>
            <w:tcW w:w="1920" w:type="dxa"/>
            <w:vMerge w:val="restart"/>
            <w:tcBorders>
              <w:top w:val="single" w:sz="8" w:space="0" w:color="7F7F7F"/>
              <w:left w:val="single" w:sz="8" w:space="0" w:color="FFFFFF"/>
              <w:bottom w:val="single" w:sz="8" w:space="0" w:color="7F7F7F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C5B97" w:rsidRDefault="00FC5B97" w:rsidP="004550D5">
            <w:pPr>
              <w:spacing w:after="0" w:line="240" w:lineRule="auto"/>
              <w:jc w:val="left"/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  <w:lang w:val="en-GB"/>
              </w:rPr>
            </w:pPr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  <w:lang w:val="en-GB"/>
              </w:rPr>
              <w:t>TS + OS Joint Model</w:t>
            </w:r>
          </w:p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Exponential tumour growth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Drug effect: AUC metabolite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Survival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weibull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. </w:t>
            </w:r>
          </w:p>
        </w:tc>
        <w:tc>
          <w:tcPr>
            <w:tcW w:w="1620" w:type="dxa"/>
            <w:tcBorders>
              <w:top w:val="single" w:sz="8" w:space="0" w:color="7F7F7F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2009.633</w:t>
            </w:r>
          </w:p>
        </w:tc>
      </w:tr>
      <w:tr w:rsidR="00FC5B97" w:rsidRPr="00A23548" w:rsidTr="004550D5">
        <w:trPr>
          <w:trHeight w:val="945"/>
        </w:trPr>
        <w:tc>
          <w:tcPr>
            <w:tcW w:w="0" w:type="auto"/>
            <w:vMerge/>
            <w:tcBorders>
              <w:top w:val="single" w:sz="8" w:space="0" w:color="7F7F7F"/>
              <w:left w:val="single" w:sz="8" w:space="0" w:color="FFFFFF"/>
              <w:bottom w:val="single" w:sz="8" w:space="0" w:color="7F7F7F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Exponential tumour growth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 xml:space="preserve">Drug effect: AUC metabolite 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n-GB"/>
              </w:rPr>
              <w:t>+resistance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Survival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weibull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.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US"/>
              </w:rPr>
              <w:t>1989.065</w:t>
            </w:r>
          </w:p>
        </w:tc>
      </w:tr>
      <w:tr w:rsidR="00FC5B97" w:rsidRPr="00A23548" w:rsidTr="004550D5">
        <w:trPr>
          <w:trHeight w:val="945"/>
        </w:trPr>
        <w:tc>
          <w:tcPr>
            <w:tcW w:w="0" w:type="auto"/>
            <w:vMerge/>
            <w:tcBorders>
              <w:top w:val="single" w:sz="8" w:space="0" w:color="7F7F7F"/>
              <w:left w:val="single" w:sz="8" w:space="0" w:color="FFFFFF"/>
              <w:bottom w:val="single" w:sz="8" w:space="0" w:color="7F7F7F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Exponential tumour growth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 xml:space="preserve">Drug effect: AUC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metabolite+resistance</w:t>
            </w:r>
            <w:proofErr w:type="spellEnd"/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Survival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weibull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 xml:space="preserve"> 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</w:rPr>
              <w:t>+ link TS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position w:val="-5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1975.909</w:t>
            </w:r>
          </w:p>
        </w:tc>
      </w:tr>
      <w:tr w:rsidR="00FC5B97" w:rsidRPr="00A23548" w:rsidTr="004550D5">
        <w:trPr>
          <w:trHeight w:val="945"/>
        </w:trPr>
        <w:tc>
          <w:tcPr>
            <w:tcW w:w="0" w:type="auto"/>
            <w:vMerge/>
            <w:tcBorders>
              <w:top w:val="single" w:sz="8" w:space="0" w:color="7F7F7F"/>
              <w:left w:val="single" w:sz="8" w:space="0" w:color="FFFFFF"/>
              <w:bottom w:val="single" w:sz="8" w:space="0" w:color="7F7F7F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2" w:space="0" w:color="808080"/>
              <w:right w:val="nil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Exponential tumour growth</w:t>
            </w:r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 xml:space="preserve">Drug effect: AUC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metabolite+resistance</w:t>
            </w:r>
            <w:proofErr w:type="spellEnd"/>
          </w:p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 xml:space="preserve">Survival </w:t>
            </w:r>
            <w:proofErr w:type="spellStart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>weibull</w:t>
            </w:r>
            <w:proofErr w:type="spellEnd"/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GB"/>
              </w:rPr>
              <w:t xml:space="preserve"> + 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n-GB"/>
              </w:rPr>
              <w:t>link  predicted 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2" w:space="0" w:color="808080"/>
              <w:right w:val="single" w:sz="8" w:space="0" w:color="FFFFFF"/>
            </w:tcBorders>
            <w:shd w:val="clear" w:color="auto" w:fill="FBFBFB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1945.23</w:t>
            </w:r>
          </w:p>
        </w:tc>
      </w:tr>
      <w:tr w:rsidR="00FC5B97" w:rsidRPr="00A23548" w:rsidTr="004550D5">
        <w:trPr>
          <w:trHeight w:val="394"/>
        </w:trPr>
        <w:tc>
          <w:tcPr>
            <w:tcW w:w="1920" w:type="dxa"/>
            <w:vMerge w:val="restart"/>
            <w:tcBorders>
              <w:top w:val="single" w:sz="8" w:space="0" w:color="7F7F7F"/>
              <w:left w:val="single" w:sz="8" w:space="0" w:color="FFFFFF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C5B97" w:rsidRPr="00A23548" w:rsidRDefault="00FC5B97" w:rsidP="004550D5">
            <w:pPr>
              <w:spacing w:after="0" w:line="240" w:lineRule="auto"/>
              <w:jc w:val="lef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proofErr w:type="spellStart"/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Covariate</w:t>
            </w:r>
            <w:proofErr w:type="spellEnd"/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 xml:space="preserve"> </w:t>
            </w:r>
            <w:proofErr w:type="spellStart"/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>analysis</w:t>
            </w:r>
            <w:proofErr w:type="spellEnd"/>
            <w:r w:rsidRPr="00A23548">
              <w:rPr>
                <w:rFonts w:asciiTheme="majorHAnsi" w:hAnsiTheme="majorHAnsi"/>
                <w:b/>
                <w:bCs/>
                <w:i/>
                <w:iCs/>
                <w:color w:val="000000"/>
                <w:kern w:val="24"/>
                <w:sz w:val="21"/>
                <w:szCs w:val="21"/>
              </w:rPr>
              <w:t xml:space="preserve"> </w:t>
            </w:r>
          </w:p>
        </w:tc>
        <w:tc>
          <w:tcPr>
            <w:tcW w:w="5080" w:type="dxa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n-GB"/>
              </w:rPr>
              <w:t>Number of lesions on TS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position w:val="-5"/>
                <w:sz w:val="21"/>
                <w:szCs w:val="21"/>
                <w:vertAlign w:val="subscript"/>
                <w:lang w:val="en-GB"/>
              </w:rPr>
              <w:t>0</w:t>
            </w:r>
          </w:p>
        </w:tc>
        <w:tc>
          <w:tcPr>
            <w:tcW w:w="1620" w:type="dxa"/>
            <w:tcBorders>
              <w:top w:val="single" w:sz="2" w:space="0" w:color="808080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</w:rPr>
              <w:t>1778.758</w:t>
            </w:r>
          </w:p>
        </w:tc>
      </w:tr>
      <w:tr w:rsidR="00FC5B97" w:rsidRPr="00A23548" w:rsidTr="004550D5">
        <w:trPr>
          <w:trHeight w:val="404"/>
        </w:trPr>
        <w:tc>
          <w:tcPr>
            <w:tcW w:w="0" w:type="auto"/>
            <w:vMerge/>
            <w:tcBorders>
              <w:top w:val="single" w:sz="8" w:space="0" w:color="7F7F7F"/>
              <w:left w:val="single" w:sz="8" w:space="0" w:color="FFFFFF"/>
              <w:bottom w:val="single" w:sz="18" w:space="0" w:color="000000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n-GB"/>
              </w:rPr>
              <w:t>Number of organ damaged on TS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position w:val="-5"/>
                <w:sz w:val="21"/>
                <w:szCs w:val="21"/>
                <w:vertAlign w:val="subscript"/>
                <w:lang w:val="en-GB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8F8F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US"/>
              </w:rPr>
              <w:t>1751.865</w:t>
            </w:r>
          </w:p>
        </w:tc>
      </w:tr>
      <w:tr w:rsidR="00FC5B97" w:rsidRPr="00A23548" w:rsidTr="004550D5">
        <w:trPr>
          <w:trHeight w:val="385"/>
        </w:trPr>
        <w:tc>
          <w:tcPr>
            <w:tcW w:w="0" w:type="auto"/>
            <w:vMerge/>
            <w:tcBorders>
              <w:top w:val="single" w:sz="8" w:space="0" w:color="7F7F7F"/>
              <w:left w:val="single" w:sz="8" w:space="0" w:color="FFFFFF"/>
              <w:bottom w:val="single" w:sz="18" w:space="0" w:color="000000"/>
              <w:right w:val="nil"/>
            </w:tcBorders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n-GB"/>
              </w:rPr>
              <w:t xml:space="preserve">Patient ECOG status on </w:t>
            </w:r>
            <w:r w:rsidRPr="00A23548">
              <w:rPr>
                <w:rFonts w:asciiTheme="majorHAnsi" w:hAnsiTheme="majorHAnsi"/>
                <w:b/>
                <w:bCs/>
                <w:color w:val="000000"/>
                <w:kern w:val="24"/>
                <w:sz w:val="21"/>
                <w:szCs w:val="21"/>
                <w:lang w:val="el-GR"/>
              </w:rPr>
              <w:t>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FC5B97" w:rsidRPr="00A23548" w:rsidRDefault="00FC5B97" w:rsidP="004550D5">
            <w:pPr>
              <w:spacing w:after="0" w:line="240" w:lineRule="auto"/>
              <w:jc w:val="right"/>
              <w:rPr>
                <w:rFonts w:asciiTheme="majorHAnsi" w:hAnsiTheme="majorHAnsi" w:cs="Arial"/>
                <w:sz w:val="36"/>
                <w:szCs w:val="36"/>
                <w:lang w:val="en-US"/>
              </w:rPr>
            </w:pPr>
            <w:r w:rsidRPr="00A23548">
              <w:rPr>
                <w:rFonts w:asciiTheme="majorHAnsi" w:hAnsiTheme="majorHAnsi"/>
                <w:color w:val="000000"/>
                <w:kern w:val="24"/>
                <w:sz w:val="21"/>
                <w:szCs w:val="21"/>
                <w:lang w:val="en-US"/>
              </w:rPr>
              <w:t>1733.784</w:t>
            </w:r>
          </w:p>
        </w:tc>
      </w:tr>
    </w:tbl>
    <w:p w:rsidR="00FC5B97" w:rsidRDefault="00FC5B97" w:rsidP="00FC5B97">
      <w:pPr>
        <w:rPr>
          <w:b/>
          <w:bCs/>
          <w:lang w:val="en-US"/>
        </w:rPr>
      </w:pPr>
    </w:p>
    <w:p w:rsidR="000B2DF4" w:rsidRDefault="000B2DF4">
      <w:pPr>
        <w:jc w:val="left"/>
        <w:rPr>
          <w:rFonts w:ascii="Cambria" w:hAnsi="Cambria"/>
          <w:sz w:val="22"/>
          <w:lang w:val="en-GB"/>
        </w:rPr>
      </w:pPr>
      <w:r>
        <w:rPr>
          <w:lang w:val="en-GB"/>
        </w:rPr>
        <w:br w:type="page"/>
      </w:r>
    </w:p>
    <w:p w:rsidR="000B2DF4" w:rsidRPr="00D331F8" w:rsidRDefault="000B2DF4" w:rsidP="000B2DF4">
      <w:pPr>
        <w:pStyle w:val="TesisMariaPrueba1"/>
        <w:rPr>
          <w:lang w:val="en-GB"/>
        </w:rPr>
      </w:pPr>
      <w:proofErr w:type="gramStart"/>
      <w:r>
        <w:rPr>
          <w:b/>
          <w:lang w:val="en-US"/>
        </w:rPr>
        <w:lastRenderedPageBreak/>
        <w:t>Supplementary Table S3</w:t>
      </w:r>
      <w:r w:rsidRPr="00D331F8">
        <w:rPr>
          <w:b/>
          <w:lang w:val="en-US"/>
        </w:rPr>
        <w:t>.</w:t>
      </w:r>
      <w:proofErr w:type="gramEnd"/>
      <w:r w:rsidRPr="00D331F8">
        <w:rPr>
          <w:lang w:val="en-US"/>
        </w:rPr>
        <w:t xml:space="preserve"> Population Parameters Estimates</w:t>
      </w:r>
    </w:p>
    <w:tbl>
      <w:tblPr>
        <w:tblW w:w="9683" w:type="dxa"/>
        <w:jc w:val="center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340"/>
        <w:gridCol w:w="3003"/>
        <w:gridCol w:w="2335"/>
        <w:gridCol w:w="2005"/>
      </w:tblGrid>
      <w:tr w:rsidR="000B2DF4" w:rsidRPr="00336B6B" w:rsidTr="006531BD">
        <w:trPr>
          <w:trHeight w:val="166"/>
          <w:jc w:val="center"/>
        </w:trPr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B2DF4" w:rsidRPr="00A86D23" w:rsidRDefault="000B2DF4" w:rsidP="006531BD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Parameters</w:t>
            </w:r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Estimate (2.5</w:t>
            </w:r>
            <w:r w:rsidRPr="00336B6B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vertAlign w:val="superscript"/>
                <w:lang w:val="en-US"/>
              </w:rPr>
              <w:t>th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 xml:space="preserve"> </w:t>
            </w: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-97.5</w:t>
            </w:r>
            <w:r w:rsidRPr="00336B6B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vertAlign w:val="superscript"/>
                <w:lang w:val="en-US"/>
              </w:rPr>
              <w:t>th</w:t>
            </w: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)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Pooled</w:t>
            </w: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 xml:space="preserve"> dataset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 xml:space="preserve"> (n=285)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Final model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 xml:space="preserve"> parameters</w:t>
            </w:r>
          </w:p>
        </w:tc>
        <w:tc>
          <w:tcPr>
            <w:tcW w:w="2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Estimate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Subset I (n=72)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</w:p>
        </w:tc>
        <w:tc>
          <w:tcPr>
            <w:tcW w:w="2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Estimate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  <w:t>Subset II (n=213)</w:t>
            </w:r>
          </w:p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  <w:lang w:val="en-US"/>
              </w:rPr>
            </w:pPr>
          </w:p>
        </w:tc>
      </w:tr>
      <w:tr w:rsidR="000B2DF4" w:rsidRPr="00A86D23" w:rsidTr="006531BD">
        <w:trPr>
          <w:trHeight w:val="166"/>
          <w:jc w:val="center"/>
        </w:trPr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B2DF4" w:rsidRPr="00A86D23" w:rsidRDefault="000B2DF4" w:rsidP="006531BD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</w:rPr>
              <w:t xml:space="preserve">TS </w:t>
            </w:r>
            <w:proofErr w:type="spellStart"/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</w:rPr>
              <w:t>model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US"/>
              </w:rPr>
            </w:pPr>
          </w:p>
        </w:tc>
        <w:tc>
          <w:tcPr>
            <w:tcW w:w="2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US"/>
              </w:rPr>
            </w:pPr>
          </w:p>
        </w:tc>
        <w:tc>
          <w:tcPr>
            <w:tcW w:w="2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B2DF4" w:rsidRPr="00A86D23" w:rsidRDefault="000B2DF4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US"/>
              </w:rPr>
            </w:pPr>
          </w:p>
        </w:tc>
      </w:tr>
      <w:tr w:rsidR="0051397B" w:rsidRPr="0051397B" w:rsidTr="006531BD">
        <w:trPr>
          <w:trHeight w:val="169"/>
          <w:jc w:val="center"/>
        </w:trPr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hAnsi="Cambria"/>
                <w:sz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TS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cm</m:t>
                    </m:r>
                  </m:e>
                </m:d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TS0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>×</m:t>
                </m:r>
              </m:oMath>
            </m:oMathPara>
          </w:p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sz w:val="18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NLSB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NLSB-2</m:t>
                      </m:r>
                    </m:e>
                  </m:d>
                </m:e>
              </m:d>
              <m:r>
                <w:rPr>
                  <w:rFonts w:ascii="Cambria Math" w:hAnsi="Cambria Math" w:cs="Cambria Math"/>
                  <w:sz w:val="18"/>
                  <w:lang w:val="en-GB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NODB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18"/>
                          <w:lang w:val="en-GB"/>
                        </w:rPr>
                        <m:t>NODB-2</m:t>
                      </m:r>
                    </m:e>
                  </m:d>
                </m:e>
              </m:d>
            </m:oMath>
            <w:r w:rsidRPr="00A86D23">
              <w:rPr>
                <w:rFonts w:ascii="Cambria" w:eastAsia="Times New Roman" w:hAnsi="Cambria" w:cs="Arial"/>
                <w:sz w:val="18"/>
                <w:lang w:val="en-US"/>
              </w:rPr>
              <w:t xml:space="preserve"> </w:t>
            </w:r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TS0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>=</m:t>
              </m:r>
            </m:oMath>
            <w:r w:rsidRPr="00A86D23">
              <w:rPr>
                <w:rFonts w:ascii="Cambria" w:eastAsia="Times New Roman" w:hAnsi="Cambria" w:cs="Arial"/>
                <w:sz w:val="18"/>
                <w:lang w:val="en-GB"/>
              </w:rPr>
              <w:t xml:space="preserve"> </w:t>
            </w: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6.04 (5.65-6.66)</w:t>
            </w:r>
          </w:p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NLSB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0.299(0.208-0.363)</w:t>
            </w:r>
          </w:p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NODB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0.123(0.06-0.23)</w:t>
            </w:r>
          </w:p>
        </w:tc>
        <w:tc>
          <w:tcPr>
            <w:tcW w:w="233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TS0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>=</m:t>
              </m:r>
            </m:oMath>
            <w:r w:rsidRPr="00A86D23">
              <w:rPr>
                <w:rFonts w:ascii="Cambria" w:eastAsia="Times New Roman" w:hAnsi="Cambria" w:cs="Arial"/>
                <w:sz w:val="18"/>
                <w:lang w:val="en-GB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6.27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NLSB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0.272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NODB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0.161</w:t>
            </w:r>
          </w:p>
        </w:tc>
        <w:tc>
          <w:tcPr>
            <w:tcW w:w="200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TS0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>=</m:t>
              </m:r>
            </m:oMath>
            <w:r w:rsidRPr="00A86D23">
              <w:rPr>
                <w:rFonts w:ascii="Cambria" w:eastAsia="Times New Roman" w:hAnsi="Cambria" w:cs="Arial"/>
                <w:sz w:val="18"/>
                <w:lang w:val="en-GB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6.06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NLSB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0.29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NODB</m:t>
                  </m:r>
                </m:sub>
              </m:sSub>
              <m:r>
                <w:rPr>
                  <w:rFonts w:ascii="Cambria Math" w:eastAsia="Times New Roman" w:hAnsi="Cambria Math" w:cs="Arial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US"/>
              </w:rPr>
              <w:t>0.157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Kp (wk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position w:val="6"/>
                <w:sz w:val="18"/>
                <w:vertAlign w:val="superscript"/>
                <w:lang w:val="en-GB"/>
              </w:rPr>
              <w:t>-1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0.0103</w:t>
            </w:r>
            <w:r w:rsidRPr="00A86D23">
              <w:rPr>
                <w:rFonts w:ascii="Cambria" w:eastAsia="Times New Roman" w:hAnsi="Cambria" w:cs="Arial"/>
                <w:color w:val="000000"/>
                <w:kern w:val="24"/>
                <w:position w:val="6"/>
                <w:sz w:val="18"/>
                <w:vertAlign w:val="superscript"/>
                <w:lang w:val="en-GB"/>
              </w:rPr>
              <w:t xml:space="preserve"> </w:t>
            </w: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(0.003-0.0104)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0.0043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0.00</w:t>
            </w: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88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Slope (wk x AUC)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vertAlign w:val="superscript"/>
                <w:lang w:val="en-GB"/>
              </w:rPr>
              <w:t>-1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*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0.00058 (0.00014-0.0067)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0.0003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  <w:lang w:val="en-GB"/>
              </w:rPr>
              <w:t>0.0005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K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vertAlign w:val="subscript"/>
                <w:lang w:val="en-GB"/>
              </w:rPr>
              <w:t>R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 xml:space="preserve"> (wk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position w:val="6"/>
                <w:sz w:val="18"/>
                <w:vertAlign w:val="superscript"/>
                <w:lang w:val="en-GB"/>
              </w:rPr>
              <w:t>-1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0.0162(0.013-0.129)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0.016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  <w:lang w:val="en-GB"/>
              </w:rPr>
              <w:t>0.0177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shd w:val="pct15" w:color="auto" w:fill="FFFFFF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ISV_TS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position w:val="-5"/>
                <w:sz w:val="18"/>
                <w:vertAlign w:val="subscript"/>
                <w:lang w:val="en-GB"/>
              </w:rPr>
              <w:t xml:space="preserve">0 </w:t>
            </w: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  <w:lang w:val="en-GB"/>
              </w:rPr>
              <w:t>(%)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shd w:val="pct15" w:color="auto" w:fill="FFFFFF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40 (33-48)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  <w:lang w:val="en-GB"/>
              </w:rPr>
              <w:t>39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</w:rPr>
              <w:t>ISV_Kp (%)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87(82-176)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133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</w:rPr>
              <w:t>90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lang w:val="en-US"/>
              </w:rPr>
            </w:pPr>
            <w:r w:rsidRPr="00A86D23">
              <w:rPr>
                <w:rFonts w:ascii="Cambria" w:eastAsia="Times New Roman" w:hAnsi="Cambria" w:cs="Arial"/>
                <w:i/>
                <w:color w:val="000000"/>
                <w:kern w:val="24"/>
                <w:sz w:val="18"/>
              </w:rPr>
              <w:t>ISV_Slope (%)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86(80-202)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80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</w:rPr>
              <w:t>96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szCs w:val="36"/>
                <w:lang w:val="en-US"/>
              </w:rPr>
            </w:pPr>
            <w:r w:rsidRPr="00A86D23">
              <w:rPr>
                <w:rFonts w:ascii="Cambria" w:hAnsi="Cambria" w:cs="Cambria Math"/>
                <w:i/>
                <w:iCs/>
                <w:color w:val="000000"/>
                <w:kern w:val="24"/>
                <w:sz w:val="18"/>
              </w:rPr>
              <w:t>Residual error (log(cm))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0.276 (0.191-0.332)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0.19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kern w:val="24"/>
                <w:sz w:val="18"/>
              </w:rPr>
              <w:t>0.308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</w:rPr>
              <w:t xml:space="preserve">OS </w:t>
            </w:r>
            <w:proofErr w:type="spellStart"/>
            <w:r w:rsidRPr="00A86D23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18"/>
              </w:rPr>
              <w:t>model</w:t>
            </w:r>
            <w:proofErr w:type="spellEnd"/>
          </w:p>
        </w:tc>
        <w:tc>
          <w:tcPr>
            <w:tcW w:w="30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szCs w:val="3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18"/>
                  </w:rPr>
                  <m:t>λ</m:t>
                </m:r>
              </m:oMath>
            </m:oMathPara>
          </w:p>
        </w:tc>
        <w:tc>
          <w:tcPr>
            <w:tcW w:w="300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0.0126 (0.009-0.015)</w:t>
            </w:r>
          </w:p>
        </w:tc>
        <w:tc>
          <w:tcPr>
            <w:tcW w:w="23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0.0135</w:t>
            </w: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</w:rPr>
              <w:t>0.0124</w:t>
            </w:r>
          </w:p>
        </w:tc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szCs w:val="36"/>
                <w:lang w:val="en-US"/>
              </w:rPr>
            </w:pPr>
            <m:oMath>
              <m:r>
                <w:rPr>
                  <w:rFonts w:ascii="Cambria Math" w:eastAsia="Times New Roman" w:hAnsi="Cambria Math" w:cs="Arial"/>
                  <w:color w:val="000000"/>
                  <w:kern w:val="24"/>
                  <w:sz w:val="18"/>
                </w:rPr>
                <m:t>β</m:t>
              </m:r>
            </m:oMath>
            <w:r w:rsidRPr="00A86D23">
              <w:rPr>
                <w:rFonts w:ascii="Cambria" w:eastAsia="Times New Roman" w:hAnsi="Cambria" w:cs="Arial"/>
                <w:i/>
                <w:iCs/>
                <w:color w:val="000000"/>
                <w:kern w:val="24"/>
                <w:position w:val="6"/>
                <w:sz w:val="18"/>
                <w:vertAlign w:val="superscript"/>
                <w:lang w:val="en-GB"/>
              </w:rPr>
              <w:t xml:space="preserve"> </w:t>
            </w:r>
            <w:r w:rsidRPr="00A86D23">
              <w:rPr>
                <w:rFonts w:ascii="Cambria" w:eastAsia="Times New Roman" w:hAnsi="Cambria" w:cs="Arial"/>
                <w:i/>
                <w:iCs/>
                <w:color w:val="000000"/>
                <w:kern w:val="24"/>
                <w:sz w:val="18"/>
                <w:lang w:val="en-GB"/>
              </w:rPr>
              <w:t>(wk</w:t>
            </w:r>
            <w:r w:rsidRPr="00A86D23">
              <w:rPr>
                <w:rFonts w:ascii="Cambria" w:eastAsia="Times New Roman" w:hAnsi="Cambria" w:cs="Arial"/>
                <w:i/>
                <w:iCs/>
                <w:color w:val="000000"/>
                <w:kern w:val="24"/>
                <w:position w:val="6"/>
                <w:sz w:val="18"/>
                <w:vertAlign w:val="superscript"/>
                <w:lang w:val="en-GB"/>
              </w:rPr>
              <w:t>-1</w:t>
            </w:r>
            <w:r w:rsidRPr="00A86D23">
              <w:rPr>
                <w:rFonts w:ascii="Cambria" w:eastAsia="Times New Roman" w:hAnsi="Cambria" w:cs="Arial"/>
                <w:i/>
                <w:iCs/>
                <w:color w:val="000000"/>
                <w:kern w:val="24"/>
                <w:sz w:val="18"/>
                <w:lang w:val="en-GB"/>
              </w:rPr>
              <w:t xml:space="preserve">) </w:t>
            </w:r>
            <m:oMath>
              <m:r>
                <w:rPr>
                  <w:rFonts w:ascii="Cambria Math" w:hAnsi="Cambria Math" w:cs="Cambria Math"/>
                  <w:sz w:val="18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β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ECOG</m:t>
                  </m:r>
                </m:sub>
              </m:sSub>
            </m:oMath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β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1.63 (1.5-2.02)</w:t>
            </w:r>
          </w:p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ECOG(ECOG≥1)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>=1</m:t>
                </m:r>
              </m:oMath>
            </m:oMathPara>
          </w:p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 xml:space="preserve"> 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ECOG(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</w:rPr>
                    <m:t>ECOG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0)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0.433 (0.112-0.652)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β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1.75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ECOG(ECOG≥1)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>=1</m:t>
                </m:r>
              </m:oMath>
            </m:oMathPara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 xml:space="preserve"> 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ECOG(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</w:rPr>
                    <m:t>ECOG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0)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0.514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β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1.67</w:t>
            </w:r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lang w:val="en-GB"/>
                      </w:rPr>
                      <m:t>ECOG(ECOG≥1)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lang w:val="en-GB"/>
                  </w:rPr>
                  <m:t>=1</m:t>
                </m:r>
              </m:oMath>
            </m:oMathPara>
          </w:p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1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 xml:space="preserve"> θ</m:t>
                  </m:r>
                </m:e>
                <m:sub>
                  <m:r>
                    <w:rPr>
                      <w:rFonts w:ascii="Cambria Math" w:hAnsi="Cambria Math" w:cs="Cambria Math"/>
                      <w:sz w:val="18"/>
                      <w:lang w:val="en-GB"/>
                    </w:rPr>
                    <m:t>ECOG(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</w:rPr>
                    <m:t>ECOG</m:t>
                  </m:r>
                  <m: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kern w:val="24"/>
                      <w:sz w:val="18"/>
                      <w:lang w:val="en-GB"/>
                    </w:rPr>
                    <m:t>0)</m:t>
                  </m:r>
                </m:sub>
              </m:sSub>
              <m:r>
                <w:rPr>
                  <w:rFonts w:ascii="Cambria Math" w:hAnsi="Cambria Math" w:cs="Cambria Math"/>
                  <w:sz w:val="18"/>
                  <w:lang w:val="en-GB"/>
                </w:rPr>
                <m:t xml:space="preserve">= </m:t>
              </m:r>
            </m:oMath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0.335</w:t>
            </w:r>
          </w:p>
        </w:tc>
        <w:bookmarkStart w:id="1" w:name="_GoBack"/>
        <w:bookmarkEnd w:id="1"/>
      </w:tr>
      <w:tr w:rsidR="0051397B" w:rsidRPr="00A86D23" w:rsidTr="006531BD">
        <w:trPr>
          <w:trHeight w:val="169"/>
          <w:jc w:val="center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rPr>
                <w:rFonts w:ascii="Cambria" w:eastAsia="Times New Roman" w:hAnsi="Cambria" w:cs="Arial"/>
                <w:i/>
                <w:sz w:val="18"/>
                <w:szCs w:val="36"/>
                <w:lang w:val="en-US"/>
              </w:rPr>
            </w:pP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begin"/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instrText xml:space="preserve"> QUOTE </w:instrText>
            </w:r>
            <w:r w:rsidRPr="00A86D23">
              <w:rPr>
                <w:rFonts w:ascii="Cambria" w:hAnsi="Cambria"/>
                <w:i/>
                <w:noProof/>
                <w:sz w:val="18"/>
                <w:lang w:val="en-GB" w:eastAsia="en-GB"/>
              </w:rPr>
              <w:drawing>
                <wp:inline distT="0" distB="0" distL="0" distR="0" wp14:anchorId="7C856F10" wp14:editId="2602A83C">
                  <wp:extent cx="123825" cy="142875"/>
                  <wp:effectExtent l="0" t="0" r="0" b="9525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instrText xml:space="preserve"> </w:instrText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separate"/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begin"/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instrText xml:space="preserve"> QUOTE </w:instrText>
            </w:r>
            <w:r w:rsidRPr="00A86D23">
              <w:rPr>
                <w:rFonts w:ascii="Cambria" w:hAnsi="Cambria"/>
                <w:i/>
                <w:noProof/>
                <w:sz w:val="18"/>
                <w:lang w:val="en-GB" w:eastAsia="en-GB"/>
              </w:rPr>
              <w:drawing>
                <wp:inline distT="0" distB="0" distL="0" distR="0" wp14:anchorId="4EFCBD2B" wp14:editId="50F1FD60">
                  <wp:extent cx="123825" cy="1428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instrText xml:space="preserve"> </w:instrText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24"/>
                  <w:sz w:val="18"/>
                </w:rPr>
                <m:t>γ</m:t>
              </m:r>
            </m:oMath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end"/>
            </w:r>
            <w:r w:rsidRPr="00A86D23">
              <w:rPr>
                <w:rFonts w:ascii="Cambria" w:hAnsi="Cambria" w:cs="Cambria Math"/>
                <w:i/>
                <w:iCs/>
                <w:color w:val="000000"/>
                <w:kern w:val="24"/>
                <w:sz w:val="18"/>
              </w:rPr>
              <w:t xml:space="preserve"> </w:t>
            </w:r>
            <w:r w:rsidRPr="00A86D23">
              <w:rPr>
                <w:rFonts w:ascii="Cambria" w:hAnsi="Cambria" w:cs="Cambria Math"/>
                <w:i/>
                <w:color w:val="000000"/>
                <w:kern w:val="24"/>
                <w:sz w:val="18"/>
              </w:rPr>
              <w:fldChar w:fldCharType="end"/>
            </w:r>
            <w:r w:rsidRPr="00A86D23">
              <w:rPr>
                <w:rFonts w:ascii="Cambria" w:hAnsi="Cambria" w:cs="Cambria Math"/>
                <w:i/>
                <w:iCs/>
                <w:color w:val="000000"/>
                <w:kern w:val="24"/>
                <w:sz w:val="18"/>
              </w:rPr>
              <w:t xml:space="preserve"> (log(cm)</w:t>
            </w:r>
            <w:r w:rsidRPr="00A86D23">
              <w:rPr>
                <w:rFonts w:ascii="Cambria" w:hAnsi="Cambria" w:cs="Cambria Math"/>
                <w:i/>
                <w:iCs/>
                <w:color w:val="000000"/>
                <w:kern w:val="24"/>
                <w:position w:val="6"/>
                <w:sz w:val="18"/>
                <w:vertAlign w:val="superscript"/>
              </w:rPr>
              <w:t>-1</w:t>
            </w:r>
            <w:r w:rsidRPr="00A86D23">
              <w:rPr>
                <w:rFonts w:ascii="Cambria" w:hAnsi="Cambria" w:cs="Cambria Math"/>
                <w:i/>
                <w:iCs/>
                <w:color w:val="000000"/>
                <w:kern w:val="24"/>
                <w:sz w:val="18"/>
              </w:rPr>
              <w:t>)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1397B" w:rsidRPr="00A86D23" w:rsidRDefault="0051397B" w:rsidP="006531BD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18"/>
                <w:szCs w:val="36"/>
                <w:lang w:val="en-US"/>
              </w:rPr>
            </w:pPr>
            <w:r w:rsidRPr="00A86D23"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0.618 (0.419-1.02)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0.514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1397B" w:rsidRPr="00A86D23" w:rsidRDefault="0051397B" w:rsidP="003130F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</w:pPr>
            <w:r>
              <w:rPr>
                <w:rFonts w:ascii="Cambria" w:eastAsia="Times New Roman" w:hAnsi="Cambria" w:cs="Arial"/>
                <w:color w:val="000000"/>
                <w:kern w:val="24"/>
                <w:sz w:val="18"/>
                <w:lang w:val="en-GB"/>
              </w:rPr>
              <w:t>0.648</w:t>
            </w:r>
          </w:p>
        </w:tc>
      </w:tr>
    </w:tbl>
    <w:p w:rsidR="000B2DF4" w:rsidRDefault="000B2DF4" w:rsidP="000B2DF4">
      <w:pPr>
        <w:pStyle w:val="TesisMariaPrueba1"/>
        <w:ind w:left="-567" w:right="-568" w:firstLine="0"/>
        <w:rPr>
          <w:sz w:val="20"/>
          <w:lang w:val="en-US"/>
        </w:rPr>
      </w:pPr>
      <w:r w:rsidRPr="00445C2A">
        <w:rPr>
          <w:sz w:val="20"/>
          <w:lang w:val="en-GB"/>
        </w:rPr>
        <w:t>Parameters are listed as estimates with 95% confidence intervals obtained from 500 bootstrap analyses in parenthesis</w:t>
      </w:r>
      <w:r>
        <w:rPr>
          <w:sz w:val="20"/>
          <w:lang w:val="en-GB"/>
        </w:rPr>
        <w:t xml:space="preserve"> (just within the pooled dataset)</w:t>
      </w:r>
      <w:r w:rsidRPr="00445C2A">
        <w:rPr>
          <w:sz w:val="20"/>
          <w:lang w:val="en-GB"/>
        </w:rPr>
        <w:t>. Estimates of inter-subject variability (ISV) are shown as coefficients of variation.</w:t>
      </w:r>
      <w:r w:rsidRPr="00445C2A">
        <w:rPr>
          <w:sz w:val="20"/>
          <w:lang w:val="en-US"/>
        </w:rPr>
        <w:t xml:space="preserve"> </w:t>
      </w:r>
      <w:r w:rsidRPr="00445C2A">
        <w:rPr>
          <w:sz w:val="20"/>
          <w:lang w:val="el-GR"/>
        </w:rPr>
        <w:t>θ</w:t>
      </w:r>
      <w:r w:rsidRPr="00445C2A">
        <w:rPr>
          <w:sz w:val="20"/>
          <w:vertAlign w:val="subscript"/>
          <w:lang w:val="en-US"/>
        </w:rPr>
        <w:t xml:space="preserve">NLSB, </w:t>
      </w:r>
      <w:r w:rsidRPr="00445C2A">
        <w:rPr>
          <w:sz w:val="20"/>
          <w:lang w:val="el-GR"/>
        </w:rPr>
        <w:t>θ</w:t>
      </w:r>
      <w:r w:rsidRPr="00445C2A">
        <w:rPr>
          <w:sz w:val="20"/>
          <w:vertAlign w:val="subscript"/>
          <w:lang w:val="en-US"/>
        </w:rPr>
        <w:t xml:space="preserve">NODB, </w:t>
      </w:r>
      <w:r w:rsidRPr="00445C2A">
        <w:rPr>
          <w:sz w:val="20"/>
          <w:lang w:val="el-GR"/>
        </w:rPr>
        <w:t>θ</w:t>
      </w:r>
      <w:r w:rsidRPr="00445C2A">
        <w:rPr>
          <w:sz w:val="20"/>
          <w:vertAlign w:val="subscript"/>
          <w:lang w:val="en-US"/>
        </w:rPr>
        <w:t>ECOG ,</w:t>
      </w:r>
      <w:r w:rsidRPr="00445C2A">
        <w:rPr>
          <w:sz w:val="20"/>
          <w:lang w:val="en-US"/>
        </w:rPr>
        <w:t>are parameters quantifying the covariate effects of  the NLSB and NODB on TS</w:t>
      </w:r>
      <w:r w:rsidRPr="00445C2A">
        <w:rPr>
          <w:sz w:val="20"/>
          <w:vertAlign w:val="subscript"/>
          <w:lang w:val="en-US"/>
        </w:rPr>
        <w:t>0</w:t>
      </w:r>
      <w:r w:rsidRPr="00445C2A">
        <w:rPr>
          <w:sz w:val="20"/>
          <w:lang w:val="en-US"/>
        </w:rPr>
        <w:t>, and  the ECOG status on the parameter</w:t>
      </w:r>
      <m:oMath>
        <m:r>
          <w:rPr>
            <w:rFonts w:ascii="Cambria Math" w:eastAsia="Times New Roman" w:hAnsi="Cambria Math" w:cs="Arial"/>
            <w:color w:val="000000"/>
            <w:kern w:val="24"/>
            <w:sz w:val="20"/>
            <w:lang w:val="en-US"/>
          </w:rPr>
          <m:t xml:space="preserve"> </m:t>
        </m:r>
        <m:r>
          <w:rPr>
            <w:rFonts w:ascii="Cambria Math" w:eastAsia="Times New Roman" w:hAnsi="Cambria Math" w:cs="Arial"/>
            <w:color w:val="000000"/>
            <w:kern w:val="24"/>
            <w:sz w:val="20"/>
          </w:rPr>
          <m:t>β</m:t>
        </m:r>
      </m:oMath>
      <w:r w:rsidRPr="00445C2A">
        <w:rPr>
          <w:sz w:val="20"/>
          <w:lang w:val="en-US"/>
        </w:rPr>
        <w:t>.</w:t>
      </w:r>
    </w:p>
    <w:p w:rsidR="000B2DF4" w:rsidRDefault="000B2DF4" w:rsidP="000B2DF4">
      <w:pPr>
        <w:pStyle w:val="TesisMariaPrueba1"/>
        <w:ind w:left="-567" w:right="-568" w:firstLine="0"/>
        <w:rPr>
          <w:sz w:val="20"/>
          <w:lang w:val="en-US"/>
        </w:rPr>
      </w:pPr>
      <w:r w:rsidRPr="00445C2A">
        <w:rPr>
          <w:sz w:val="20"/>
          <w:lang w:val="en-US"/>
        </w:rPr>
        <w:t xml:space="preserve"> *Units of AUC of gemcitabine metabolite in white blood cells (wk·picomol/10</w:t>
      </w:r>
      <w:r w:rsidRPr="00445C2A">
        <w:rPr>
          <w:sz w:val="20"/>
          <w:vertAlign w:val="superscript"/>
          <w:lang w:val="en-US"/>
        </w:rPr>
        <w:t>6</w:t>
      </w:r>
      <w:r w:rsidRPr="00445C2A">
        <w:rPr>
          <w:sz w:val="20"/>
          <w:lang w:val="en-US"/>
        </w:rPr>
        <w:t xml:space="preserve"> cells).</w:t>
      </w:r>
    </w:p>
    <w:p w:rsidR="00FC5B97" w:rsidRPr="000B2DF4" w:rsidRDefault="00FC5B97" w:rsidP="00FC5B97">
      <w:pPr>
        <w:pStyle w:val="TesisMariaPrueba1"/>
        <w:rPr>
          <w:lang w:val="en-US"/>
        </w:rPr>
      </w:pPr>
    </w:p>
    <w:p w:rsidR="00FC5B97" w:rsidRPr="006D4698" w:rsidRDefault="00FC5B97" w:rsidP="00FC5B97">
      <w:pPr>
        <w:rPr>
          <w:lang w:val="en-GB"/>
        </w:rPr>
      </w:pPr>
    </w:p>
    <w:p w:rsidR="0001126A" w:rsidRPr="000B2DF4" w:rsidRDefault="0051397B">
      <w:pPr>
        <w:rPr>
          <w:lang w:val="en-GB"/>
        </w:rPr>
      </w:pPr>
    </w:p>
    <w:sectPr w:rsidR="0001126A" w:rsidRPr="000B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65pt;height:11.7pt;visibility:visible" o:bullet="t">
        <v:imagedata r:id="rId1" o:title="" chromakey="white"/>
      </v:shape>
    </w:pict>
  </w:numPicBullet>
  <w:abstractNum w:abstractNumId="0">
    <w:nsid w:val="074F1976"/>
    <w:multiLevelType w:val="hybridMultilevel"/>
    <w:tmpl w:val="10ECAB0A"/>
    <w:lvl w:ilvl="0" w:tplc="1BC47A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E19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3E7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EA8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C64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74BC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45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4C27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E73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7CD165C"/>
    <w:multiLevelType w:val="multilevel"/>
    <w:tmpl w:val="CA687F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5552276"/>
    <w:multiLevelType w:val="hybridMultilevel"/>
    <w:tmpl w:val="9022F6DC"/>
    <w:lvl w:ilvl="0" w:tplc="D9C4AD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A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9C5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CC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8D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B2F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E01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EBA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86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B130A4F"/>
    <w:multiLevelType w:val="hybridMultilevel"/>
    <w:tmpl w:val="489A91D0"/>
    <w:lvl w:ilvl="0" w:tplc="76B2E7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4C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082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0E2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807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0C6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84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8451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BC79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97"/>
    <w:rsid w:val="00065A23"/>
    <w:rsid w:val="000B2DF4"/>
    <w:rsid w:val="0012098A"/>
    <w:rsid w:val="001F03A8"/>
    <w:rsid w:val="002315ED"/>
    <w:rsid w:val="00401D72"/>
    <w:rsid w:val="0051397B"/>
    <w:rsid w:val="0062610B"/>
    <w:rsid w:val="006D412B"/>
    <w:rsid w:val="00F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97"/>
    <w:pPr>
      <w:jc w:val="both"/>
    </w:pPr>
    <w:rPr>
      <w:rFonts w:eastAsiaTheme="minorEastAsia"/>
      <w:sz w:val="20"/>
      <w:szCs w:val="20"/>
      <w:lang w:val="es-ES" w:eastAsia="zh-CN"/>
    </w:rPr>
  </w:style>
  <w:style w:type="paragraph" w:styleId="Ttulo1">
    <w:name w:val="heading 1"/>
    <w:aliases w:val="Título 1_Tesis Maria"/>
    <w:basedOn w:val="TesisMariaPrueba1"/>
    <w:next w:val="Normal"/>
    <w:link w:val="Ttulo1Car"/>
    <w:uiPriority w:val="9"/>
    <w:qFormat/>
    <w:rsid w:val="00FC5B97"/>
    <w:pPr>
      <w:numPr>
        <w:numId w:val="1"/>
      </w:numPr>
      <w:spacing w:before="300" w:after="40"/>
      <w:jc w:val="left"/>
      <w:outlineLvl w:val="0"/>
    </w:pPr>
    <w:rPr>
      <w:b/>
      <w:smallCaps/>
      <w:spacing w:val="5"/>
      <w:sz w:val="26"/>
      <w:szCs w:val="32"/>
    </w:rPr>
  </w:style>
  <w:style w:type="paragraph" w:styleId="Ttulo2">
    <w:name w:val="heading 2"/>
    <w:aliases w:val="Título 2_Tesis Maria"/>
    <w:basedOn w:val="TesisMariaPrueba1"/>
    <w:next w:val="TesisMariaPrueba1"/>
    <w:link w:val="Ttulo2Car"/>
    <w:autoRedefine/>
    <w:uiPriority w:val="9"/>
    <w:unhideWhenUsed/>
    <w:qFormat/>
    <w:rsid w:val="00FC5B97"/>
    <w:pPr>
      <w:spacing w:before="720" w:after="80" w:line="240" w:lineRule="auto"/>
      <w:ind w:left="720" w:hanging="720"/>
      <w:jc w:val="left"/>
      <w:outlineLvl w:val="1"/>
    </w:pPr>
    <w:rPr>
      <w:smallCaps/>
      <w:spacing w:val="4"/>
      <w:sz w:val="26"/>
      <w:szCs w:val="28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_Tesis Maria Car"/>
    <w:basedOn w:val="Fuentedeprrafopredeter"/>
    <w:link w:val="Ttulo1"/>
    <w:uiPriority w:val="9"/>
    <w:rsid w:val="00FC5B97"/>
    <w:rPr>
      <w:rFonts w:ascii="Cambria" w:eastAsiaTheme="minorEastAsia" w:hAnsi="Cambria"/>
      <w:b/>
      <w:smallCaps/>
      <w:spacing w:val="5"/>
      <w:sz w:val="26"/>
      <w:szCs w:val="32"/>
      <w:lang w:val="es-ES" w:eastAsia="zh-CN"/>
    </w:rPr>
  </w:style>
  <w:style w:type="character" w:customStyle="1" w:styleId="Ttulo2Car">
    <w:name w:val="Título 2 Car"/>
    <w:aliases w:val="Título 2_Tesis Maria Car"/>
    <w:basedOn w:val="Fuentedeprrafopredeter"/>
    <w:link w:val="Ttulo2"/>
    <w:uiPriority w:val="9"/>
    <w:rsid w:val="00FC5B97"/>
    <w:rPr>
      <w:rFonts w:ascii="Cambria" w:eastAsiaTheme="minorEastAsia" w:hAnsi="Cambria"/>
      <w:smallCaps/>
      <w:spacing w:val="4"/>
      <w:sz w:val="26"/>
      <w:szCs w:val="28"/>
      <w:u w:val="single"/>
      <w:lang w:val="en-US" w:eastAsia="zh-CN"/>
    </w:rPr>
  </w:style>
  <w:style w:type="paragraph" w:customStyle="1" w:styleId="TesisMariaPrueba1">
    <w:name w:val="Tesis Maria. Prueba1"/>
    <w:basedOn w:val="Normal"/>
    <w:link w:val="TesisMariaPrueba1Car"/>
    <w:qFormat/>
    <w:rsid w:val="00FC5B97"/>
    <w:pPr>
      <w:spacing w:before="120" w:after="240" w:line="360" w:lineRule="auto"/>
      <w:ind w:firstLine="680"/>
    </w:pPr>
    <w:rPr>
      <w:rFonts w:ascii="Cambria" w:hAnsi="Cambria"/>
      <w:sz w:val="22"/>
    </w:rPr>
  </w:style>
  <w:style w:type="character" w:customStyle="1" w:styleId="TesisMariaPrueba1Car">
    <w:name w:val="Tesis Maria. Prueba1 Car"/>
    <w:basedOn w:val="Fuentedeprrafopredeter"/>
    <w:link w:val="TesisMariaPrueba1"/>
    <w:rsid w:val="00FC5B97"/>
    <w:rPr>
      <w:rFonts w:ascii="Cambria" w:eastAsiaTheme="minorEastAsia" w:hAnsi="Cambria"/>
      <w:szCs w:val="20"/>
      <w:lang w:val="es-ES" w:eastAsia="zh-CN"/>
    </w:rPr>
  </w:style>
  <w:style w:type="paragraph" w:styleId="Prrafodelista">
    <w:name w:val="List Paragraph"/>
    <w:basedOn w:val="Normal"/>
    <w:uiPriority w:val="34"/>
    <w:qFormat/>
    <w:rsid w:val="00FC5B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F4"/>
    <w:rPr>
      <w:rFonts w:ascii="Tahoma" w:eastAsiaTheme="minorEastAsia" w:hAnsi="Tahoma" w:cs="Tahom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97"/>
    <w:pPr>
      <w:jc w:val="both"/>
    </w:pPr>
    <w:rPr>
      <w:rFonts w:eastAsiaTheme="minorEastAsia"/>
      <w:sz w:val="20"/>
      <w:szCs w:val="20"/>
      <w:lang w:val="es-ES" w:eastAsia="zh-CN"/>
    </w:rPr>
  </w:style>
  <w:style w:type="paragraph" w:styleId="Ttulo1">
    <w:name w:val="heading 1"/>
    <w:aliases w:val="Título 1_Tesis Maria"/>
    <w:basedOn w:val="TesisMariaPrueba1"/>
    <w:next w:val="Normal"/>
    <w:link w:val="Ttulo1Car"/>
    <w:uiPriority w:val="9"/>
    <w:qFormat/>
    <w:rsid w:val="00FC5B97"/>
    <w:pPr>
      <w:numPr>
        <w:numId w:val="1"/>
      </w:numPr>
      <w:spacing w:before="300" w:after="40"/>
      <w:jc w:val="left"/>
      <w:outlineLvl w:val="0"/>
    </w:pPr>
    <w:rPr>
      <w:b/>
      <w:smallCaps/>
      <w:spacing w:val="5"/>
      <w:sz w:val="26"/>
      <w:szCs w:val="32"/>
    </w:rPr>
  </w:style>
  <w:style w:type="paragraph" w:styleId="Ttulo2">
    <w:name w:val="heading 2"/>
    <w:aliases w:val="Título 2_Tesis Maria"/>
    <w:basedOn w:val="TesisMariaPrueba1"/>
    <w:next w:val="TesisMariaPrueba1"/>
    <w:link w:val="Ttulo2Car"/>
    <w:autoRedefine/>
    <w:uiPriority w:val="9"/>
    <w:unhideWhenUsed/>
    <w:qFormat/>
    <w:rsid w:val="00FC5B97"/>
    <w:pPr>
      <w:spacing w:before="720" w:after="80" w:line="240" w:lineRule="auto"/>
      <w:ind w:left="720" w:hanging="720"/>
      <w:jc w:val="left"/>
      <w:outlineLvl w:val="1"/>
    </w:pPr>
    <w:rPr>
      <w:smallCaps/>
      <w:spacing w:val="4"/>
      <w:sz w:val="26"/>
      <w:szCs w:val="28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_Tesis Maria Car"/>
    <w:basedOn w:val="Fuentedeprrafopredeter"/>
    <w:link w:val="Ttulo1"/>
    <w:uiPriority w:val="9"/>
    <w:rsid w:val="00FC5B97"/>
    <w:rPr>
      <w:rFonts w:ascii="Cambria" w:eastAsiaTheme="minorEastAsia" w:hAnsi="Cambria"/>
      <w:b/>
      <w:smallCaps/>
      <w:spacing w:val="5"/>
      <w:sz w:val="26"/>
      <w:szCs w:val="32"/>
      <w:lang w:val="es-ES" w:eastAsia="zh-CN"/>
    </w:rPr>
  </w:style>
  <w:style w:type="character" w:customStyle="1" w:styleId="Ttulo2Car">
    <w:name w:val="Título 2 Car"/>
    <w:aliases w:val="Título 2_Tesis Maria Car"/>
    <w:basedOn w:val="Fuentedeprrafopredeter"/>
    <w:link w:val="Ttulo2"/>
    <w:uiPriority w:val="9"/>
    <w:rsid w:val="00FC5B97"/>
    <w:rPr>
      <w:rFonts w:ascii="Cambria" w:eastAsiaTheme="minorEastAsia" w:hAnsi="Cambria"/>
      <w:smallCaps/>
      <w:spacing w:val="4"/>
      <w:sz w:val="26"/>
      <w:szCs w:val="28"/>
      <w:u w:val="single"/>
      <w:lang w:val="en-US" w:eastAsia="zh-CN"/>
    </w:rPr>
  </w:style>
  <w:style w:type="paragraph" w:customStyle="1" w:styleId="TesisMariaPrueba1">
    <w:name w:val="Tesis Maria. Prueba1"/>
    <w:basedOn w:val="Normal"/>
    <w:link w:val="TesisMariaPrueba1Car"/>
    <w:qFormat/>
    <w:rsid w:val="00FC5B97"/>
    <w:pPr>
      <w:spacing w:before="120" w:after="240" w:line="360" w:lineRule="auto"/>
      <w:ind w:firstLine="680"/>
    </w:pPr>
    <w:rPr>
      <w:rFonts w:ascii="Cambria" w:hAnsi="Cambria"/>
      <w:sz w:val="22"/>
    </w:rPr>
  </w:style>
  <w:style w:type="character" w:customStyle="1" w:styleId="TesisMariaPrueba1Car">
    <w:name w:val="Tesis Maria. Prueba1 Car"/>
    <w:basedOn w:val="Fuentedeprrafopredeter"/>
    <w:link w:val="TesisMariaPrueba1"/>
    <w:rsid w:val="00FC5B97"/>
    <w:rPr>
      <w:rFonts w:ascii="Cambria" w:eastAsiaTheme="minorEastAsia" w:hAnsi="Cambria"/>
      <w:szCs w:val="20"/>
      <w:lang w:val="es-ES" w:eastAsia="zh-CN"/>
    </w:rPr>
  </w:style>
  <w:style w:type="paragraph" w:styleId="Prrafodelista">
    <w:name w:val="List Paragraph"/>
    <w:basedOn w:val="Normal"/>
    <w:uiPriority w:val="34"/>
    <w:qFormat/>
    <w:rsid w:val="00FC5B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F4"/>
    <w:rPr>
      <w:rFonts w:ascii="Tahoma" w:eastAsiaTheme="minorEastAsia" w:hAnsi="Tahoma" w:cs="Tahom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GARCIA-CREMADES MIRA</dc:creator>
  <cp:lastModifiedBy>MARIA GARCIA-CREMADES MIRA</cp:lastModifiedBy>
  <cp:revision>4</cp:revision>
  <dcterms:created xsi:type="dcterms:W3CDTF">2018-01-11T02:12:00Z</dcterms:created>
  <dcterms:modified xsi:type="dcterms:W3CDTF">2018-01-17T19:57:00Z</dcterms:modified>
</cp:coreProperties>
</file>