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Active Intelligence</w:t>
      </w:r>
    </w:p>
    <w:p>
      <w:pPr>
        <w:spacing w:after="40"/>
      </w:pPr>
      <w:r>
        <w:rPr>
          <w:b/>
          <w:bCs/>
          <w:color w:val="2E75B6"/>
          <w:sz w:val="28"/>
          <w:szCs w:val="28"/>
        </w:rPr>
        <w:t xml:space="preserve">Building the Continuous Agentic Learning Loop</w:t>
      </w:r>
    </w:p>
    <w:p>
      <w:pPr>
        <w:spacing w:after="200"/>
      </w:pPr>
      <w:r>
        <w:rPr>
          <w:i/>
          <w:iCs/>
          <w:color w:val="6B7280"/>
          <w:sz w:val="21"/>
          <w:szCs w:val="21"/>
        </w:rPr>
        <w:t xml:space="preserve">A strategic blueprint for the Context Intelligence Layer and the Deep Reasoning Agent</w:t>
      </w:r>
    </w:p>
    <w:p>
      <w:pPr>
        <w:pBdr>
          <w:top w:val="single" w:color="D5D5D5" w:sz="4" w:space="6"/>
          <w:bottom w:val="single" w:color="D5D5D5" w:sz="4" w:space="6"/>
        </w:pBdr>
        <w:tabs>
          <w:tab w:val="right" w:pos="9360"/>
        </w:tabs>
        <w:spacing w:after="240"/>
      </w:pPr>
      <w:r>
        <w:rPr>
          <w:b/>
          <w:bCs/>
          <w:sz w:val="19"/>
          <w:szCs w:val="19"/>
        </w:rPr>
        <w:t xml:space="preserve">Prepared by Allen Hoem</w:t>
      </w:r>
      <w:r>
        <w:rPr>
          <w:color w:val="6B7280"/>
          <w:sz w:val="19"/>
          <w:szCs w:val="19"/>
        </w:rPr>
        <w:t xml:space="preserve">  ·  Principal PM candidate, Context Intelligence &amp; Marketing Reasoning</w:t>
      </w:r>
      <w:r>
        <w:rPr>
          <w:color w:val="6B7280"/>
          <w:sz w:val="19"/>
          <w:szCs w:val="19"/>
        </w:rPr>
        <w:t xml:space="preserve">	June 2026</w:t>
      </w:r>
    </w:p>
    <w:p>
      <w:pPr>
        <w:pStyle w:val="Heading1"/>
      </w:pPr>
      <w:r>
        <w:t xml:space="preserve">Executive summary</w:t>
      </w:r>
    </w:p>
    <w:p>
      <w:pPr>
        <w:spacing w:after="160" w:line="276"/>
      </w:pPr>
      <w:r>
        <w:t xml:space="preserve">Active Intelligence already does something most of the market cannot: at the Spring 2026 keynote we shipped agentic AI that </w:t>
      </w:r>
      <w:r>
        <w:rPr>
          <w:b/>
          <w:bCs/>
        </w:rPr>
        <w:t xml:space="preserve">acts, not just answers</w:t>
      </w:r>
      <w:r>
        <w:t xml:space="preserve"> — monitoring performance across billions of signals, surfacing why a campaign is over- or under-indexing against its sector, and recommending the next action automatically. New users now launch their first AI-powered campaign in roughly 18 minutes versus 2.6 hours by hand, an 8x compression of the marketing lifecycle. That is the wedge. This memo is about the foundational layer that turns that wedge into a compounding, defensible moat.</w:t>
      </w:r>
    </w:p>
    <w:p>
      <w:pPr>
        <w:spacing w:after="160" w:line="276"/>
      </w:pPr>
      <w:r>
        <w:t xml:space="preserve">The thesis is simple: </w:t>
      </w:r>
      <w:r>
        <w:rPr>
          <w:b/>
          <w:bCs/>
        </w:rPr>
        <w:t xml:space="preserve">deeper context produces more powerful reasoning, which drives more engagement, which generates richer context.</w:t>
      </w:r>
      <w:r>
        <w:t xml:space="preserve"> That loop — the Flywheel — only compounds if we build two things deliberately: a </w:t>
      </w:r>
      <w:r>
        <w:rPr>
          <w:b/>
          <w:bCs/>
          <w:color w:val="2E75B6"/>
        </w:rPr>
        <w:t xml:space="preserve">Context Intelligence Layer</w:t>
      </w:r>
      <w:r>
        <w:t xml:space="preserve"> that structures 20+ years of cross-channel marketing data and declarative goals into something every agent can reason over, and a </w:t>
      </w:r>
      <w:r>
        <w:rPr>
          <w:b/>
          <w:bCs/>
          <w:color w:val="2E75B6"/>
        </w:rPr>
        <w:t xml:space="preserve">Deep Reasoning Agent</w:t>
      </w:r>
      <w:r>
        <w:t xml:space="preserve"> that uses frontier models, extended thinking, and multi-step research to explain </w:t>
      </w:r>
      <w:r>
        <w:rPr>
          <w:i/>
          <w:iCs/>
        </w:rPr>
        <w:t xml:space="preserve">why</w:t>
      </w:r>
      <w:r>
        <w:t xml:space="preserve"> engagement shifted and </w:t>
      </w:r>
      <w:r>
        <w:rPr>
          <w:i/>
          <w:iCs/>
        </w:rPr>
        <w:t xml:space="preserve">what to do next</w:t>
      </w:r>
      <w:r>
        <w:t xml:space="preserve"> — not just emit a metric or a routing weight.</w:t>
      </w:r>
    </w:p>
    <w:p>
      <w:pPr>
        <w:spacing w:after="160" w:line="276"/>
      </w:pPr>
      <w:r>
        <w:t xml:space="preserve">We ship this in three phases — Prototype, Beta + Security Audit, GA — with an eval harness gating every release so we promote marketing-grade intelligence, not demo-ware. A working prototype of the Flywheel accompanies this memo.</w:t>
      </w:r>
    </w:p>
    <w:p>
      <w:pPr>
        <w:pStyle w:val="Heading1"/>
      </w:pPr>
      <w:r>
        <w:t xml:space="preserve">1.  The strategic inflection</w:t>
      </w:r>
    </w:p>
    <w:p>
      <w:pPr>
        <w:spacing w:after="160" w:line="276"/>
      </w:pPr>
      <w:r>
        <w:t xml:space="preserve">The first generation of marketing AI was </w:t>
      </w:r>
      <w:r>
        <w:rPr>
          <w:b/>
          <w:bCs/>
        </w:rPr>
        <w:t xml:space="preserve">prompt-and-respond</w:t>
      </w:r>
      <w:r>
        <w:t xml:space="preserve">: the marketer asks, the model answers. Active Intelligence already moved past that to </w:t>
      </w:r>
      <w:r>
        <w:rPr>
          <w:b/>
          <w:bCs/>
        </w:rPr>
        <w:t xml:space="preserve">agent-to-user</w:t>
      </w:r>
      <w:r>
        <w:t xml:space="preserve"> — the system initiates. The next inflection is </w:t>
      </w:r>
      <w:r>
        <w:rPr>
          <w:b/>
          <w:bCs/>
        </w:rPr>
        <w:t xml:space="preserve">agent-to-outcome</w:t>
      </w:r>
      <w:r>
        <w:t xml:space="preserve">: the marketer declares a top-level business goal (“Increase Q3 retention by 15%”) plus brand guardrails, and a multi-agent ecosystem pursues that objective continuously, without a human hand-authoring every logic branch.</w:t>
      </w:r>
    </w:p>
    <w:p>
      <w:pPr>
        <w:spacing w:after="160" w:line="276"/>
      </w:pPr>
      <w:r>
        <w:t xml:space="preserve">This is a shift in the unit of work — from orchestrating </w:t>
      </w:r>
      <w:r>
        <w:rPr>
          <w:i/>
          <w:iCs/>
        </w:rPr>
        <w:t xml:space="preserve">flows</w:t>
      </w:r>
      <w:r>
        <w:t xml:space="preserve"> to declaring </w:t>
      </w:r>
      <w:r>
        <w:rPr>
          <w:i/>
          <w:iCs/>
        </w:rPr>
        <w:t xml:space="preserve">intent</w:t>
      </w:r>
      <w:r>
        <w:t xml:space="preserve">. For our base (over 180,000 businesses, the majority small teams without a data-science function) that is the difference between marketing software you operate and marketing intelligence that operates for you. The competitive moat is not the model; frontier models are a commodity input. The moat is the </w:t>
      </w:r>
      <w:r>
        <w:rPr>
          <w:b/>
          <w:bCs/>
        </w:rPr>
        <w:t xml:space="preserve">structured context</w:t>
      </w:r>
      <w:r>
        <w:t xml:space="preserve"> only we hold — two decades of cross-channel outcomes — and the </w:t>
      </w:r>
      <w:r>
        <w:rPr>
          <w:b/>
          <w:bCs/>
        </w:rPr>
        <w:t xml:space="preserve">eval discipline</w:t>
      </w:r>
      <w:r>
        <w:t xml:space="preserve"> that makes reasoning over it trustworthy.</w:t>
      </w:r>
    </w:p>
    <w:p>
      <w:pPr>
        <w:pBdr>
          <w:left w:val="single" w:color="C44536" w:sz="18" w:space="12"/>
        </w:pBdr>
        <w:shd w:fill="EAF1F8" w:val="clear"/>
        <w:spacing w:after="160" w:line="276"/>
        <w:ind w:left="180"/>
      </w:pPr>
      <w:r>
        <w:rPr>
          <w:b/>
          <w:bCs/>
        </w:rPr>
        <w:t xml:space="preserve">What this unlocks for the marketer: </w:t>
      </w:r>
      <w:r>
        <w:t xml:space="preserve">they stop babysitting automations and start setting objectives. The platform becomes a strategist that works overnight, not a dashboard they have to interpret.</w:t>
      </w:r>
    </w:p>
    <w:p>
      <w:pPr>
        <w:pStyle w:val="Heading1"/>
      </w:pPr>
      <w:r>
        <w:t xml:space="preserve">2.  The two problem spaces</w:t>
      </w:r>
    </w:p>
    <w:p>
      <w:pPr>
        <w:pStyle w:val="Heading2"/>
      </w:pPr>
      <w:r>
        <w:t xml:space="preserve">2.1  The Context Intelligence Layer (structured intelligence)</w:t>
      </w:r>
    </w:p>
    <w:p>
      <w:pPr>
        <w:spacing w:after="160" w:line="276"/>
      </w:pPr>
      <w:r>
        <w:t xml:space="preserve">The Context Layer is the signal architecture that gives the system a deep, current understanding of each customer’s business: their </w:t>
      </w:r>
      <w:r>
        <w:rPr>
          <w:b/>
          <w:bCs/>
        </w:rPr>
        <w:t xml:space="preserve">declarative goals</w:t>
      </w:r>
      <w:r>
        <w:t xml:space="preserve">, </w:t>
      </w:r>
      <w:r>
        <w:rPr>
          <w:b/>
          <w:bCs/>
        </w:rPr>
        <w:t xml:space="preserve">brand identity</w:t>
      </w:r>
      <w:r>
        <w:t xml:space="preserve">, </w:t>
      </w:r>
      <w:r>
        <w:rPr>
          <w:b/>
          <w:bCs/>
        </w:rPr>
        <w:t xml:space="preserve">audience behavior</w:t>
      </w:r>
      <w:r>
        <w:t xml:space="preserve">, and </w:t>
      </w:r>
      <w:r>
        <w:rPr>
          <w:b/>
          <w:bCs/>
        </w:rPr>
        <w:t xml:space="preserve">campaign history</w:t>
      </w:r>
      <w:r>
        <w:t xml:space="preserve">. It captures both </w:t>
      </w:r>
      <w:r>
        <w:rPr>
          <w:b/>
          <w:bCs/>
        </w:rPr>
        <w:t xml:space="preserve">explicit intent</w:t>
      </w:r>
      <w:r>
        <w:t xml:space="preserve"> from the marketer and </w:t>
      </w:r>
      <w:r>
        <w:rPr>
          <w:b/>
          <w:bCs/>
        </w:rPr>
        <w:t xml:space="preserve">implicit behavioral signals</w:t>
      </w:r>
      <w:r>
        <w:t xml:space="preserve"> from the audience, and structures them into an actionable, queryable format that every agent on the platform can reason over — not a passive data lake, but a live context object scoped per tenant.</w:t>
      </w:r>
    </w:p>
    <w:p>
      <w:pPr>
        <w:pStyle w:val="Heading2"/>
      </w:pPr>
      <w:r>
        <w:t xml:space="preserve">2.2  The Deep Reasoning Agent (deep reasoning over dashboarding)</w:t>
      </w:r>
    </w:p>
    <w:p>
      <w:pPr>
        <w:spacing w:after="160" w:line="276"/>
      </w:pPr>
      <w:r>
        <w:t xml:space="preserve">The Deep Reasoning Agent turns context into marketing insight. It uses extended thinking, multi-step research, and cross-source synthesis to answer the questions a dashboard never will: </w:t>
      </w:r>
      <w:r>
        <w:rPr>
          <w:i/>
          <w:iCs/>
        </w:rPr>
        <w:t xml:space="preserve">why did engagement shift, what do my top segments share, and where should the next campaign focus?</w:t>
      </w:r>
      <w:r>
        <w:t xml:space="preserve"> Critically, its output is not a number or a routing weight — it is an explanation plus a recommended action, with the evidence trail attached so a marketer can trust and act on it.</w:t>
      </w:r>
    </w:p>
    <w:p>
      <w:pPr>
        <w:pStyle w:val="Heading1"/>
      </w:pPr>
      <w:r>
        <w:t xml:space="preserve">3.  Architectural blueprint</w:t>
      </w:r>
    </w:p>
    <w:p>
      <w:pPr>
        <w:spacing w:after="160" w:line="276"/>
      </w:pPr>
      <w:r>
        <w:t xml:space="preserve">Five pillars are fixed. They define what “production” means for this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Pillar</w:t>
            </w:r>
          </w:p>
        </w:tc>
        <w:tc>
          <w:tcPr>
            <w:tcW w:type="dxa" w:w="66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Commitment</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Context Layer</w:t>
            </w:r>
          </w:p>
        </w:tc>
        <w:tc>
          <w:tcPr>
            <w:tcW w:type="dxa" w:w="66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Ingest 20+ years of marketing data, cross-channel signals, and declarative goals; structure into an actionable format every agent can reason over.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Deep reasoning over dashboarding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Extended thinking, multi-step research, cross-source synthesis. The agent explains why and recommends what next — never just a metric.</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Eval-driven quality</w:t>
            </w:r>
          </w:p>
        </w:tc>
        <w:tc>
          <w:tcPr>
            <w:tcW w:type="dxa" w:w="66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Every AI feature is backed by golden sets, quality rubrics, and automated output grading. We define and enforce a marketing-grade bar before shipping.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Semantic abstraction &amp; trust boundary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Raw campaign copy passes through a small-parameter commercial LLM that extracts a generalized semantic intent matrix — enabling cross-tenant learning with zero PII or proprietary-strategy exposure.</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Regulated tenancy &amp; scale</w:t>
            </w:r>
          </w:p>
        </w:tc>
        <w:tc>
          <w:tcPr>
            <w:tcW w:type="dxa" w:w="66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Serve 180k+ businesses on logical multi-tenancy (SaaS baseline) and isolated single-tenancy for HIPAA/FINRA-regulated industries.</w:t>
            </w:r>
          </w:p>
        </w:tc>
      </w:tr>
    </w:tbl>
    <w:p>
      <w:pPr>
        <w:pStyle w:val="Heading2"/>
      </w:pPr>
      <w:r>
        <w:t xml:space="preserve">3.1  Data path: from declarative goals to generalized semantic intent</w:t>
      </w:r>
    </w:p>
    <w:p>
      <w:pPr>
        <w:spacing w:after="160" w:line="276"/>
      </w:pPr>
      <w:r>
        <w:t xml:space="preserve">Data moves through five phases. A and B build context; C protects it at the trust boundary; D and E reason and act, closing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Stage</w:t>
            </w:r>
          </w:p>
        </w:tc>
        <w:tc>
          <w:tcPr>
            <w:tcW w:type="dxa" w:w="6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What happens</w:t>
            </w:r>
          </w:p>
        </w:tc>
      </w:tr>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2"/>
                <w:szCs w:val="22"/>
              </w:rPr>
              <w:t xml:space="preserve">A</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Declarative input</w:t>
            </w:r>
          </w:p>
        </w:tc>
        <w:tc>
          <w:tcPr>
            <w:tcW w:type="dxa" w:w="6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Business goals and brand guardrails captured via UI and the Declarative Goal API.</w:t>
            </w:r>
          </w:p>
        </w:tc>
      </w:tr>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2"/>
                <w:szCs w:val="22"/>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Omni-channel ingestion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Asynchronous event streaming across Email, SMS, Web, and WhatsApp into a centralized lakehouse.</w:t>
            </w:r>
          </w:p>
        </w:tc>
      </w:tr>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2"/>
                <w:szCs w:val="22"/>
              </w:rPr>
              <w:t xml:space="preserve">C</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Semantic abstraction</w:t>
            </w:r>
          </w:p>
        </w:tc>
        <w:tc>
          <w:tcPr>
            <w:tcW w:type="dxa" w:w="6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PII masked; a small-parameter LLM extracts generalized semantic intent matrices behind the trust boundary.</w:t>
            </w:r>
          </w:p>
        </w:tc>
      </w:tr>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2"/>
                <w:szCs w:val="22"/>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Agentic orchestration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The Deep Reasoning Agent scores semantic signals against goals using batch contextual bandits (cMAB) to predict engagement.</w:t>
            </w:r>
          </w:p>
        </w:tc>
      </w:tr>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2"/>
                <w:szCs w:val="22"/>
              </w:rPr>
              <w:t xml:space="preserve">E</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Execution &amp; feedback</w:t>
            </w:r>
          </w:p>
        </w:tc>
        <w:tc>
          <w:tcPr>
            <w:tcW w:type="dxa" w:w="6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Routing weights alter live campaign paths via API; outcomes trigger the next signal wave — the loop closes.</w:t>
            </w:r>
          </w:p>
        </w:tc>
      </w:tr>
    </w:tbl>
    <w:p>
      <w:pPr>
        <w:pStyle w:val="Heading2"/>
      </w:pPr>
      <w:r>
        <w:t xml:space="preserve">3.2  The Declarative Goal: a machine-readable contract</w:t>
      </w:r>
    </w:p>
    <w:p>
      <w:pPr>
        <w:spacing w:after="160" w:line="276"/>
      </w:pPr>
      <w:r>
        <w:t xml:space="preserve">Strategic boundaries are enforced through a machine-readable goal configuration, managed via the Declarative Goal API. It marks the precise edges within which agents may operate — aligning autonomous action with organizational constraints and performance targets. A minimal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Type</w:t>
            </w:r>
          </w:p>
        </w:tc>
        <w:tc>
          <w:tcPr>
            <w:tcW w:type="dxa" w:w="5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Purpose</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campaign_id</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UUID</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Scopes the goal to a campaign and tenant.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business_goal_type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sz w:val="18"/>
                <w:szCs w:val="18"/>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Retention, acquisition, reactivation, revenue, etc.</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target_metric_delta</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Float</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The declared outcome, e.g. +15% retention.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brand_voice_id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Binds generation to the tenant’s brand guardrails.</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exploration_budget</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Float</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How much the cMAB may explore vs. exploit.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regulated_industry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sz w:val="18"/>
                <w:szCs w:val="18"/>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Routes to isolated single-tenancy when true.</w:t>
            </w:r>
          </w:p>
        </w:tc>
      </w:tr>
    </w:tbl>
    <w:p>
      <w:pPr>
        <w:pStyle w:val="Heading2"/>
      </w:pPr>
      <w:r>
        <w:t xml:space="preserve">3.3  The trust boundary in one example</w:t>
      </w:r>
    </w:p>
    <w:p>
      <w:pPr>
        <w:spacing w:after="160" w:line="276"/>
      </w:pPr>
      <w:r>
        <w:t xml:space="preserve">Cross-tenant learning is the Flywheel’s accelerant, but raw copy can never cross a tenant line. The semantic abstraction engine resolves the tension. Raw input </w:t>
      </w:r>
      <w:r>
        <w:rPr>
          <w:i/>
          <w:iCs/>
        </w:rPr>
        <w:t xml:space="preserve">“I need to return this red XL sweater ASAP — it arrived torn”</w:t>
      </w:r>
      <w:r>
        <w:t xml:space="preserve"> becomes a generalized matrix — </w:t>
      </w:r>
      <w:r>
        <w:rPr>
          <w:rFonts w:ascii="Consolas" w:cs="Consolas" w:eastAsia="Consolas" w:hAnsi="Consolas"/>
          <w:color w:val="C44536"/>
          <w:sz w:val="18"/>
          <w:szCs w:val="18"/>
        </w:rPr>
        <w:t xml:space="preserve">[Urgency: High] [Category: Apparel] [Issue: Defect]</w:t>
      </w:r>
      <w:r>
        <w:t xml:space="preserve"> — with the customer’s words, identity, and our customer’s proprietary strategy left behind. The Deep Reasoning Agent learns global patterns across 1,000+ tenants; none of them learn about each other.</w:t>
      </w:r>
    </w:p>
    <w:p>
      <w:pPr>
        <w:pStyle w:val="Heading1"/>
      </w:pPr>
      <w:r>
        <w:t xml:space="preserve">4.  Eval-driven quality: the production bar</w:t>
      </w:r>
    </w:p>
    <w:p>
      <w:pPr>
        <w:spacing w:after="160" w:line="276"/>
      </w:pPr>
      <w:r>
        <w:t xml:space="preserve">We do not ship demo-ware. “Marketing-grade intelligence” has to be a measurable bar, not a vibe. Every AI feature is gated by an eval harness before it is promoted:</w:t>
      </w:r>
    </w:p>
    <w:p>
      <w:pPr>
        <w:pStyle w:val="ListParagraph"/>
        <w:numPr>
          <w:ilvl w:val="0"/>
          <w:numId w:val="2"/>
        </w:numPr>
        <w:spacing w:after="80" w:line="264"/>
      </w:pPr>
      <w:r>
        <w:rPr>
          <w:b/>
          <w:bCs/>
        </w:rPr>
        <w:t xml:space="preserve">Golden sets — </w:t>
      </w:r>
      <w:r>
        <w:t xml:space="preserve">curated, versioned datasets of real campaign scenarios with known-good reasoning and recommendations, drawn from anonymized history and expert annotation.</w:t>
      </w:r>
    </w:p>
    <w:p>
      <w:pPr>
        <w:pStyle w:val="ListParagraph"/>
        <w:numPr>
          <w:ilvl w:val="0"/>
          <w:numId w:val="2"/>
        </w:numPr>
        <w:spacing w:after="80" w:line="264"/>
      </w:pPr>
      <w:r>
        <w:rPr>
          <w:b/>
          <w:bCs/>
        </w:rPr>
        <w:t xml:space="preserve">Quality rubrics — </w:t>
      </w:r>
      <w:r>
        <w:t xml:space="preserve">explicit scoring dimensions: factual grounding in the context, actionability of the recommendation, brand-voice adherence, and absence of hallucinated metrics.</w:t>
      </w:r>
    </w:p>
    <w:p>
      <w:pPr>
        <w:pStyle w:val="ListParagraph"/>
        <w:numPr>
          <w:ilvl w:val="0"/>
          <w:numId w:val="2"/>
        </w:numPr>
        <w:spacing w:after="80" w:line="264"/>
      </w:pPr>
      <w:r>
        <w:rPr>
          <w:b/>
          <w:bCs/>
        </w:rPr>
        <w:t xml:space="preserve">Automated output grading — </w:t>
      </w:r>
      <w:r>
        <w:t xml:space="preserve">an LLM-as-judge graded against the rubric, calibrated to human raters, running in CI so every prompt or model change is scored before release.</w:t>
      </w:r>
    </w:p>
    <w:p>
      <w:pPr>
        <w:spacing w:after="160" w:line="276"/>
      </w:pPr>
      <w:r>
        <w:t xml:space="preserve">This is also the mechanism by which we safely adopt new frontier models: a candidate is promoted only when it beats the incumbent on the golden set. Evals are how we move fast without shipping regressions — days, not quarters.</w:t>
      </w:r>
    </w:p>
    <w:p>
      <w:pPr>
        <w:pStyle w:val="Heading1"/>
      </w:pPr>
      <w:r>
        <w:t xml:space="preserve">5.  Tenancy, trust, and scale</w:t>
      </w:r>
    </w:p>
    <w:p>
      <w:pPr>
        <w:spacing w:after="160" w:line="276"/>
      </w:pPr>
      <w:r>
        <w:t xml:space="preserve">The architecture serves 180k+ businesses on a logical multi-tenant SaaS baseline, while supporting isolated single-tenancy for HIPAA- and FINRA-regulated customers via the </w:t>
      </w:r>
      <w:r>
        <w:rPr>
          <w:rFonts w:ascii="Consolas" w:cs="Consolas" w:eastAsia="Consolas" w:hAnsi="Consolas"/>
          <w:color w:val="C44536"/>
          <w:sz w:val="19"/>
          <w:szCs w:val="19"/>
        </w:rPr>
        <w:t xml:space="preserve">regulated_industry</w:t>
      </w:r>
      <w:r>
        <w:t xml:space="preserve"> flag on the Declarative Goal. The Context Layer maintains strict data partitioning and dual-signal capture — explicit marketer intent and implicit audience behavior — within regulatory boundaries. Identity resolution stitches Email, SMS, and Web touchpoints to a single authoritative individual_id that the cMAB reasons over: holistic journeys without leaking PII across the trust boundary.</w:t>
      </w:r>
    </w:p>
    <w:p>
      <w:pPr>
        <w:pStyle w:val="Heading1"/>
      </w:pPr>
      <w:r>
        <w:t xml:space="preserve">6.  Phased rollout</w:t>
      </w:r>
    </w:p>
    <w:p>
      <w:pPr>
        <w:spacing w:after="160" w:line="276"/>
      </w:pPr>
      <w:r>
        <w:t xml:space="preserve">Three phases, each with a clear exit gate. We own outcomes end-to-end and do not advance until a phase’s evals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560"/>
        <w:gridCol w:w="260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Phase</w:t>
            </w:r>
          </w:p>
        </w:tc>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Window</w:t>
            </w:r>
          </w:p>
        </w:tc>
        <w:tc>
          <w:tcPr>
            <w:tcW w:type="dxa" w:w="3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Scope</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Exit gate</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20"/>
                <w:szCs w:val="20"/>
              </w:rPr>
              <w:t xml:space="preserve">Phase 1</w:t>
            </w:r>
            <w:r>
              <w:rPr>
                <w:b/>
                <w:bCs/>
                <w:color w:val="2E75B6"/>
                <w:sz w:val="17"/>
                <w:szCs w:val="17"/>
              </w:rPr>
              <w:br/>
              <w:t xml:space="preserve">Prototype</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sz w:val="19"/>
                <w:szCs w:val="19"/>
              </w:rPr>
              <w:t xml:space="preserve">~30 days</w:t>
            </w:r>
          </w:p>
        </w:tc>
        <w:tc>
          <w:tcPr>
            <w:tcW w:type="dxa" w:w="3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Declarative Goal schema + API; semantic abstraction engine v0; Deep Reasoning Agent on a single goal type (retention); offline cMAB. Internal only.</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i/>
                <w:iCs/>
                <w:sz w:val="19"/>
                <w:szCs w:val="19"/>
              </w:rPr>
              <w:t xml:space="preserve">Reasoning quality ≥ human baseline on the v1 golden set; live interactive demo of the Flywheel.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20"/>
                <w:szCs w:val="20"/>
              </w:rPr>
              <w:t xml:space="preserve">Phase 2</w:t>
            </w:r>
            <w:r>
              <w:rPr>
                <w:b/>
                <w:bCs/>
                <w:color w:val="2E75B6"/>
                <w:sz w:val="17"/>
                <w:szCs w:val="17"/>
              </w:rPr>
              <w:br/>
              <w:t xml:space="preserve">Beta + Security Audit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sz w:val="19"/>
                <w:szCs w:val="19"/>
              </w:rPr>
              <w:t xml:space="preserve">~Q3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Closed beta with design partners; online cMAB on live traffic with exploration caps; PII/red-team audit; single-tenant isolation validated.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i/>
                <w:iCs/>
                <w:sz w:val="19"/>
                <w:szCs w:val="19"/>
              </w:rPr>
              <w:t xml:space="preserve">Pass security audit; design-partner lift on the declared metric; zero PII-boundary violations.</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20"/>
                <w:szCs w:val="20"/>
              </w:rPr>
              <w:t xml:space="preserve">Phase 3</w:t>
            </w:r>
            <w:r>
              <w:rPr>
                <w:b/>
                <w:bCs/>
                <w:color w:val="2E75B6"/>
                <w:sz w:val="17"/>
                <w:szCs w:val="17"/>
              </w:rPr>
              <w:br/>
              <w:t xml:space="preserve">GA</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sz w:val="19"/>
                <w:szCs w:val="19"/>
              </w:rPr>
              <w:t xml:space="preserve">~Q4 2026</w:t>
            </w:r>
          </w:p>
        </w:tc>
        <w:tc>
          <w:tcPr>
            <w:tcW w:type="dxa" w:w="3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GA across goal types and channels; cross-tenant Industry Models live behind the trust boundary; full eval harness in CI.</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i/>
                <w:iCs/>
                <w:sz w:val="19"/>
                <w:szCs w:val="19"/>
              </w:rPr>
              <w:t xml:space="preserve">Adoption/retention targets across the base; eval pass-rate held above threshold release-over-release.</w:t>
            </w:r>
          </w:p>
        </w:tc>
      </w:tr>
    </w:tbl>
    <w:p>
      <w:pPr>
        <w:pStyle w:val="Heading1"/>
      </w:pPr>
      <w:r>
        <w:t xml:space="preserve">7.  Business impact — what the Flywheel compounds</w:t>
      </w:r>
    </w:p>
    <w:p>
      <w:pPr>
        <w:spacing w:after="160" w:line="276"/>
      </w:pPr>
      <w:r>
        <w:t xml:space="preserve">Every turn of the loop makes the next one better, and the advantage compounds in a way competitors cannot copy by buying the same model:</w:t>
      </w:r>
    </w:p>
    <w:p>
      <w:pPr>
        <w:pStyle w:val="ListParagraph"/>
        <w:numPr>
          <w:ilvl w:val="0"/>
          <w:numId w:val="2"/>
        </w:numPr>
        <w:spacing w:after="80" w:line="264"/>
      </w:pPr>
      <w:r>
        <w:rPr>
          <w:b/>
          <w:bCs/>
        </w:rPr>
        <w:t xml:space="preserve">For the marketer: </w:t>
      </w:r>
      <w:r>
        <w:t xml:space="preserve">set a goal, not a flowchart. The platform explains shifts and acts on them overnight — extending the 8x lifecycle compression from campaign creation into ongoing optimization.</w:t>
      </w:r>
    </w:p>
    <w:p>
      <w:pPr>
        <w:pStyle w:val="ListParagraph"/>
        <w:numPr>
          <w:ilvl w:val="0"/>
          <w:numId w:val="2"/>
        </w:numPr>
        <w:spacing w:after="80" w:line="264"/>
      </w:pPr>
      <w:r>
        <w:rPr>
          <w:b/>
          <w:bCs/>
        </w:rPr>
        <w:t xml:space="preserve">For ActiveCampaign: </w:t>
      </w:r>
      <w:r>
        <w:t xml:space="preserve">a structural data moat. 20+ years of outcomes plus cross-tenant Industry Models means our reasoning improves with scale; a new entrant starts at zero context.</w:t>
      </w:r>
    </w:p>
    <w:p>
      <w:pPr>
        <w:pStyle w:val="ListParagraph"/>
        <w:numPr>
          <w:ilvl w:val="0"/>
          <w:numId w:val="2"/>
        </w:numPr>
        <w:spacing w:after="80" w:line="264"/>
      </w:pPr>
      <w:r>
        <w:rPr>
          <w:b/>
          <w:bCs/>
        </w:rPr>
        <w:t xml:space="preserve">For regulated segments: </w:t>
      </w:r>
      <w:r>
        <w:t xml:space="preserve">single-tenant isolation unlocks healthcare and financial-services accounts historically blocked by compliance — new TAM, not just better retention.</w:t>
      </w:r>
    </w:p>
    <w:p>
      <w:pPr>
        <w:pStyle w:val="Heading1"/>
      </w:pPr>
      <w:r>
        <w:t xml:space="preserve">8.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Risk</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Mitigation</w:t>
            </w:r>
          </w:p>
        </w:tc>
      </w:tr>
      <w:tr>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Agent autonomy erodes marketer trust</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Evidence-attached recommendations, exploration-budget caps, and human-in-the-loop approval gates for high-impact actions in early phases.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Semantic abstraction leaks PII or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Trust-boundary red-teaming in the golden set; abstraction-layer audit is an explicit Phase 2 exit gate.</w:t>
            </w:r>
          </w:p>
        </w:tc>
      </w:tr>
      <w:tr>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Frontier-model regressions reach production</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No model promotes without beating the incumbent on the golden set; LLM-as-judge grading runs in CI.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cMAB over-explores on live revenue traffic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exploration_budget is a first-class, tenant-tunable field; online learning starts capped and widens as confidence grows.</w:t>
            </w:r>
          </w:p>
        </w:tc>
      </w:tr>
    </w:tbl>
    <w:p>
      <w:pPr>
        <w:pStyle w:val="Heading1"/>
      </w:pPr>
      <w:r>
        <w:t xml:space="preserve">9.  The prototype</w:t>
      </w:r>
    </w:p>
    <w:p>
      <w:pPr>
        <w:spacing w:after="160" w:line="276"/>
      </w:pPr>
      <w:r>
        <w:t xml:space="preserve">This memo ships with a working, interactive prototype of the Flywheel. It stages the </w:t>
      </w:r>
      <w:r>
        <w:rPr>
          <w:b/>
          <w:bCs/>
        </w:rPr>
        <w:t xml:space="preserve">Deep Reasoning Agent</w:t>
      </w:r>
      <w:r>
        <w:t xml:space="preserve"> inside the full loop: a marketer declares a goal, omni-channel signals stream in, the semantic abstraction engine masks them at the trust boundary, the agent reasons in the open — why engagement shifted, what the top segments share — and recommends the next action, the cMAB updates routing weights, and the loop closes with a richer context object than it started with. It is a guided simulation, not production code, but it makes the architecture concrete and demonstrates the one thing a dashboard cannot: reasoning you can read.</w:t>
      </w:r>
    </w:p>
    <w:p>
      <w:pPr>
        <w:spacing w:after="160" w:line="276"/>
      </w:pPr>
      <w:r>
        <w:rPr>
          <w:i/>
          <w:iCs/>
          <w:color w:val="6B7280"/>
        </w:rPr>
        <w:t xml:space="preserve">Open the accompanying file “active_intelligence_flywheel.html” in any browser to walk the loop end-to-end.</w:t>
      </w:r>
    </w:p>
    <w:p>
      <w:pPr>
        <w:pBdr>
          <w:top w:val="single" w:color="D5D5D5" w:sz="4" w:space="6"/>
        </w:pBdr>
        <w:spacing w:before="240"/>
      </w:pPr>
      <w:r>
        <w:rPr>
          <w:i/>
          <w:iCs/>
          <w:color w:val="1F3A5F"/>
          <w:sz w:val="19"/>
          <w:szCs w:val="19"/>
        </w:rPr>
        <w:t xml:space="preserve">Customer value first. Production over POCs. Evals as the bar. The Flywheel as the moat.</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5"/>
        <w:szCs w:val="15"/>
      </w:rPr>
      <w:t xml:space="preserve">From dashboards to deep reasoning — the Flywheel</w:t>
    </w:r>
    <w:r>
      <w:rPr>
        <w:color w:val="6B7280"/>
        <w:sz w:val="15"/>
        <w:szCs w:val="15"/>
      </w:rPr>
      <w:t xml:space="preserve">	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4" w:space="6"/>
      </w:pBdr>
      <w:tabs>
        <w:tab w:val="right" w:pos="9360"/>
      </w:tabs>
    </w:pPr>
    <w:r>
      <w:rPr>
        <w:b/>
        <w:bCs/>
        <w:color w:val="1F3A5F"/>
        <w:sz w:val="15"/>
        <w:szCs w:val="15"/>
      </w:rPr>
      <w:t xml:space="preserve">ACTIVE INTELLIGENCE  ·  STRATEGIC BLUEPRINT</w:t>
    </w:r>
    <w:r>
      <w:rPr>
        <w:color w:val="6B7280"/>
        <w:sz w:val="15"/>
        <w:szCs w:val="15"/>
      </w:rPr>
      <w:t xml:space="preserve">	Confidential — Prepared by Allen Hoem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F3A5F"/>
      <w:sz w:val="40"/>
      <w:szCs w:val="40"/>
    </w:rPr>
  </w:style>
  <w:style w:type="paragraph" w:styleId="Heading1">
    <w:name w:val="Heading 1"/>
    <w:basedOn w:val="Normal"/>
    <w:next w:val="Normal"/>
    <w:qFormat/>
    <w:pPr>
      <w:pBdr>
        <w:bottom w:val="single" w:color="2E75B6" w:sz="6" w:space="4"/>
      </w:pBdr>
      <w:spacing w:after="120" w:before="30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Intelligence: Continuous Agentic Learning Loop</dc:title>
  <dc:creator>Allen Hoem</dc:creator>
  <cp:lastModifiedBy>Un-named</cp:lastModifiedBy>
  <cp:revision>1</cp:revision>
  <dcterms:created xsi:type="dcterms:W3CDTF">2026-06-10T14:44:34.857Z</dcterms:created>
  <dcterms:modified xsi:type="dcterms:W3CDTF">2026-06-10T14:44:34.857Z</dcterms:modified>
</cp:coreProperties>
</file>

<file path=docProps/custom.xml><?xml version="1.0" encoding="utf-8"?>
<Properties xmlns="http://schemas.openxmlformats.org/officeDocument/2006/custom-properties" xmlns:vt="http://schemas.openxmlformats.org/officeDocument/2006/docPropsVTypes"/>
</file>