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89E89E" w14:textId="77777777" w:rsidR="000877C3" w:rsidRDefault="00000000">
      <w:pPr>
        <w:spacing w:after="20"/>
      </w:pPr>
      <w:r>
        <w:rPr>
          <w:b/>
          <w:sz w:val="28"/>
        </w:rPr>
        <w:t>DNA Typewriter mouse lineage recording (Yu, Kim, Seidel et al. 2026 preprint) — representative SeaHub dataset - schema gap brief</w:t>
      </w:r>
    </w:p>
    <w:p w14:paraId="04ADE379" w14:textId="77777777" w:rsidR="000877C3" w:rsidRDefault="00000000">
      <w:pPr>
        <w:spacing w:after="160"/>
      </w:pPr>
      <w:r>
        <w:rPr>
          <w:color w:val="666666"/>
          <w:sz w:val="16"/>
        </w:rPr>
        <w:t>Milestone 1 — Track C · DDM Gate: Sept 11, 2026  ·  aind-data-schema v2.9.0 (commit 18114d7b), models &gt;=6.1.0,&lt;7; CELLxGENE Discover v7.1.0 (commit 1cb494af) consulted for omics cross-reference  ·  Draft v0.1, 2026-09-11  ·  Aishwarya Chander · Workstream 2</w:t>
      </w:r>
    </w:p>
    <w:p w14:paraId="1DFC45EB" w14:textId="77777777" w:rsidR="000877C3" w:rsidRDefault="00000000">
      <w:pPr>
        <w:spacing w:after="160"/>
      </w:pPr>
      <w:r>
        <w:rPr>
          <w:b/>
          <w:sz w:val="18"/>
        </w:rPr>
        <w:t>PLACEHOLDER - built from indirect material. Answer the open questions below before acting on it.</w:t>
      </w:r>
    </w:p>
    <w:p w14:paraId="7212FB3F" w14:textId="77777777" w:rsidR="000877C3" w:rsidRDefault="00000000">
      <w:pPr>
        <w:spacing w:before="200" w:after="60"/>
      </w:pPr>
      <w:r>
        <w:rPr>
          <w:b/>
          <w:color w:val="666666"/>
          <w:sz w:val="17"/>
        </w:rPr>
        <w:t>THE PROBLEM</w:t>
      </w:r>
    </w:p>
    <w:p w14:paraId="5D3D8689" w14:textId="77777777" w:rsidR="000877C3" w:rsidRDefault="00000000">
      <w:pPr>
        <w:spacing w:after="80"/>
      </w:pPr>
      <w:r>
        <w:t>One embryo produces four assay-level assets and one sequencing run pools two embryos, so neither direction of the asset-to-subject relationship fits a scalar Acquisition.subject_id.</w:t>
      </w:r>
    </w:p>
    <w:p w14:paraId="1C5F3021" w14:textId="77777777" w:rsidR="000877C3" w:rsidRDefault="00000000">
      <w:pPr>
        <w:spacing w:before="200" w:after="60"/>
      </w:pPr>
      <w:r>
        <w:rPr>
          <w:b/>
          <w:color w:val="666666"/>
          <w:sz w:val="17"/>
        </w:rPr>
        <w:t>BLOCKING - NEEDS A DECISION</w:t>
      </w:r>
    </w:p>
    <w:p w14:paraId="0AC62D38" w14:textId="77777777" w:rsidR="000877C3" w:rsidRDefault="00000000">
      <w:pPr>
        <w:pStyle w:val="ListBullet"/>
        <w:spacing w:after="40"/>
      </w:pPr>
      <w:r>
        <w:t>Obtain the Benchling field export and a metadata example from a live SeaHub experiment, then promote this analysis from placeholder to full mode (all unknowns)</w:t>
      </w:r>
      <w:r>
        <w:rPr>
          <w:b/>
        </w:rPr>
        <w:t xml:space="preserve">  — Aishwarya Chander / Kenny, Before Sep 11 gate</w:t>
      </w:r>
    </w:p>
    <w:p w14:paraId="6FC17EE7" w14:textId="77777777" w:rsidR="000877C3" w:rsidRDefault="00000000">
      <w:pPr>
        <w:pStyle w:val="ListBullet"/>
        <w:spacing w:after="40"/>
      </w:pPr>
      <w:r>
        <w:t>Decide the unit of registration for pooled and multi-assay sequencing designs, and whether decomposition happens at onboarding (Q1, R1)</w:t>
      </w:r>
      <w:r>
        <w:rPr>
          <w:b/>
        </w:rPr>
        <w:t xml:space="preserve">  — WS2 + WS3, Sep 11 gate</w:t>
      </w:r>
    </w:p>
    <w:p w14:paraId="6D2E61A5" w14:textId="77777777" w:rsidR="000877C3" w:rsidRDefault="00000000">
      <w:pPr>
        <w:pStyle w:val="ListBullet"/>
        <w:spacing w:after="40"/>
      </w:pPr>
      <w:r>
        <w:t>Decide whether assay identity and developmental stage bind to external ontologies or stay closed enums (Q2, R3, R5)</w:t>
      </w:r>
      <w:r>
        <w:rPr>
          <w:b/>
        </w:rPr>
        <w:t xml:space="preserve">  — WS2, Sep 11 gate</w:t>
      </w:r>
    </w:p>
    <w:p w14:paraId="2764EF34" w14:textId="77777777" w:rsidR="000877C3" w:rsidRDefault="00000000">
      <w:pPr>
        <w:pStyle w:val="ListBullet"/>
        <w:spacing w:after="40"/>
      </w:pPr>
      <w:r>
        <w:t>Decide whether any level below the data asset exists in the registry model (Q4, R9, R11)</w:t>
      </w:r>
      <w:r>
        <w:rPr>
          <w:b/>
        </w:rPr>
        <w:t xml:space="preserve">  — WS1 + WS2, Sep 11 gate</w:t>
      </w:r>
    </w:p>
    <w:p w14:paraId="663965E5" w14:textId="77777777" w:rsidR="000877C3" w:rsidRDefault="00000000">
      <w:pPr>
        <w:pStyle w:val="ListBullet"/>
        <w:spacing w:after="40"/>
      </w:pPr>
      <w:r>
        <w:t>Decide registration responsibility for Allen and UW co-produced, externally deposited datasets (Q5, R12)</w:t>
      </w:r>
      <w:r>
        <w:rPr>
          <w:b/>
        </w:rPr>
        <w:t xml:space="preserve">  — WS1 + WS3, Sep 11 gate</w:t>
      </w:r>
    </w:p>
    <w:p w14:paraId="4306F163" w14:textId="77777777" w:rsidR="000877C3" w:rsidRDefault="00000000">
      <w:pPr>
        <w:spacing w:before="200" w:after="60"/>
      </w:pPr>
      <w:r>
        <w:rPr>
          <w:b/>
          <w:color w:val="666666"/>
          <w:sz w:val="17"/>
        </w:rPr>
        <w:t>NEXT</w:t>
      </w:r>
    </w:p>
    <w:p w14:paraId="7C672BB8" w14:textId="77777777" w:rsidR="000877C3" w:rsidRDefault="00000000">
      <w:pPr>
        <w:pStyle w:val="ListBullet"/>
        <w:spacing w:after="40"/>
      </w:pPr>
      <w:r>
        <w:t>Fix the two structural defects in the corpus TEA-seq metadata example — a stray closing brace that terminates the root object and a missing separator that silently discards PBMC isolation</w:t>
      </w:r>
      <w:r>
        <w:rPr>
          <w:b/>
        </w:rPr>
        <w:t xml:space="preserve">  — WS2 / Aishwarya Chander, M2</w:t>
      </w:r>
    </w:p>
    <w:p w14:paraId="1D0519FF" w14:textId="77777777" w:rsidR="000877C3" w:rsidRDefault="00000000">
      <w:pPr>
        <w:pStyle w:val="ListBullet"/>
        <w:spacing w:after="40"/>
      </w:pPr>
      <w:r>
        <w:t>Open a genetic-modification modelling thread covering construct identity, barcode library design, integration inventory, copy number and activation state (R4)</w:t>
      </w:r>
      <w:r>
        <w:rPr>
          <w:b/>
        </w:rPr>
        <w:t xml:space="preserve">  — WS2, M2</w:t>
      </w:r>
    </w:p>
    <w:p w14:paraId="67C3118B" w14:textId="77777777" w:rsidR="000877C3" w:rsidRDefault="00000000">
      <w:pPr>
        <w:pStyle w:val="ListBullet"/>
        <w:spacing w:after="40"/>
      </w:pPr>
      <w:r>
        <w:t>Add the molecular-preparation and pipeline vocabulary entries, now on their fifth independent appearance across datasets (R8, R11)</w:t>
      </w:r>
      <w:r>
        <w:rPr>
          <w:b/>
        </w:rPr>
        <w:t xml:space="preserve">  — WS2, M2</w:t>
      </w:r>
    </w:p>
    <w:p w14:paraId="4184ED65" w14:textId="77777777" w:rsidR="000877C3" w:rsidRDefault="00000000">
      <w:pPr>
        <w:pStyle w:val="ListBullet"/>
        <w:spacing w:after="40"/>
      </w:pPr>
      <w:r>
        <w:t>Define registry guidance for pilot, confirmatory and negative-result datasets, using the ten-embryo screen as the worked case</w:t>
      </w:r>
      <w:r>
        <w:rPr>
          <w:b/>
        </w:rPr>
        <w:t xml:space="preserve">  — Registry team, M2</w:t>
      </w:r>
    </w:p>
    <w:p w14:paraId="239404C0" w14:textId="77777777" w:rsidR="000877C3" w:rsidRDefault="00000000">
      <w:pPr>
        <w:spacing w:before="200" w:after="60"/>
      </w:pPr>
      <w:r>
        <w:rPr>
          <w:b/>
          <w:color w:val="666666"/>
          <w:sz w:val="17"/>
        </w:rPr>
        <w:t>HIGH-IMPACT GAPS (11 OF 18)</w:t>
      </w:r>
    </w:p>
    <w:p w14:paraId="0086F10D" w14:textId="77777777" w:rsidR="000877C3" w:rsidRDefault="00000000">
      <w:pPr>
        <w:pStyle w:val="ListBullet"/>
        <w:spacing w:after="40"/>
      </w:pPr>
      <w:r>
        <w:rPr>
          <w:b/>
        </w:rPr>
        <w:t xml:space="preserve">G1 </w:t>
      </w:r>
      <w:r>
        <w:t>Asset-to-subject cardinality breaks in both directions</w:t>
      </w:r>
    </w:p>
    <w:p w14:paraId="53DA3525" w14:textId="77777777" w:rsidR="000877C3" w:rsidRDefault="00000000">
      <w:pPr>
        <w:pStyle w:val="ListBullet"/>
        <w:spacing w:after="40"/>
      </w:pPr>
      <w:r>
        <w:rPr>
          <w:b/>
        </w:rPr>
        <w:t xml:space="preserve">G2 </w:t>
      </w:r>
      <w:r>
        <w:t>No first-class Study or Cohort entity for the injection cohort and its two indexing experiments</w:t>
      </w:r>
    </w:p>
    <w:p w14:paraId="7535B9D6" w14:textId="77777777" w:rsidR="000877C3" w:rsidRDefault="00000000">
      <w:pPr>
        <w:pStyle w:val="ListBullet"/>
        <w:spacing w:after="40"/>
      </w:pPr>
      <w:r>
        <w:rPr>
          <w:b/>
        </w:rPr>
        <w:t xml:space="preserve">G3 </w:t>
      </w:r>
      <w:r>
        <w:t>Modality enum has no entry for targeted amplicon sequencing, bulk RNA sequencing, or digital PCR</w:t>
      </w:r>
    </w:p>
    <w:p w14:paraId="2927338A" w14:textId="77777777" w:rsidR="000877C3" w:rsidRDefault="00000000">
      <w:pPr>
        <w:pStyle w:val="ListBullet"/>
        <w:spacing w:after="40"/>
      </w:pPr>
      <w:r>
        <w:rPr>
          <w:b/>
        </w:rPr>
        <w:t xml:space="preserve">G4 </w:t>
      </w:r>
      <w:r>
        <w:t>Engineered recording construct, its barcode library, and its per-animal integration state have no home</w:t>
      </w:r>
      <w:r>
        <w:rPr>
          <w:b/>
        </w:rPr>
        <w:t xml:space="preserve">  [inferred]</w:t>
      </w:r>
    </w:p>
    <w:p w14:paraId="5FF10514" w14:textId="77777777" w:rsidR="000877C3" w:rsidRDefault="00000000">
      <w:pPr>
        <w:pStyle w:val="ListBullet"/>
        <w:spacing w:after="40"/>
      </w:pPr>
      <w:r>
        <w:rPr>
          <w:b/>
        </w:rPr>
        <w:t xml:space="preserve">G5 </w:t>
      </w:r>
      <w:r>
        <w:t>MouseSubject.date_of_birth is required and meaningless for an embryo harvested at a gestational stage</w:t>
      </w:r>
      <w:r>
        <w:rPr>
          <w:b/>
        </w:rPr>
        <w:t xml:space="preserve">  [inferred]</w:t>
      </w:r>
    </w:p>
    <w:p w14:paraId="3C5CC933" w14:textId="77777777" w:rsidR="000877C3" w:rsidRDefault="00000000">
      <w:pPr>
        <w:pStyle w:val="ListBullet"/>
        <w:spacing w:after="40"/>
      </w:pPr>
      <w:r>
        <w:rPr>
          <w:b/>
        </w:rPr>
        <w:t xml:space="preserve">G8 </w:t>
      </w:r>
      <w:r>
        <w:t>Every molecular preparation step falls to SpecimenProcedureType.OTHER</w:t>
      </w:r>
    </w:p>
    <w:p w14:paraId="4E9F89CF" w14:textId="77777777" w:rsidR="000877C3" w:rsidRDefault="00000000">
      <w:pPr>
        <w:pStyle w:val="ListBullet"/>
        <w:spacing w:after="40"/>
      </w:pPr>
      <w:r>
        <w:rPr>
          <w:b/>
        </w:rPr>
        <w:t xml:space="preserve">G9 </w:t>
      </w:r>
      <w:r>
        <w:t>Three-level combinatorial index hierarchy has no representation</w:t>
      </w:r>
    </w:p>
    <w:p w14:paraId="5976B3B2" w14:textId="77777777" w:rsidR="000877C3" w:rsidRDefault="00000000">
      <w:pPr>
        <w:pStyle w:val="ListBullet"/>
        <w:spacing w:after="40"/>
      </w:pPr>
      <w:r>
        <w:rPr>
          <w:b/>
        </w:rPr>
        <w:t xml:space="preserve">G10 </w:t>
      </w:r>
      <w:r>
        <w:t>Library design and per-embryo interpretation references are required to read the raw files and are not registrable</w:t>
      </w:r>
      <w:r>
        <w:rPr>
          <w:b/>
        </w:rPr>
        <w:t xml:space="preserve">  [source]</w:t>
      </w:r>
    </w:p>
    <w:p w14:paraId="39D8AA47" w14:textId="77777777" w:rsidR="000877C3" w:rsidRDefault="00000000">
      <w:pPr>
        <w:pStyle w:val="ListBullet"/>
        <w:spacing w:after="40"/>
      </w:pPr>
      <w:r>
        <w:rPr>
          <w:b/>
        </w:rPr>
        <w:t xml:space="preserve">G11 </w:t>
      </w:r>
      <w:r>
        <w:t>Derived lineage trees have no asset type and the process vocabulary omits every step in the pipeline</w:t>
      </w:r>
    </w:p>
    <w:p w14:paraId="48092DE0" w14:textId="77777777" w:rsidR="000877C3" w:rsidRDefault="00000000">
      <w:pPr>
        <w:pStyle w:val="ListBullet"/>
        <w:spacing w:after="40"/>
      </w:pPr>
      <w:r>
        <w:rPr>
          <w:b/>
        </w:rPr>
        <w:t xml:space="preserve">G12 </w:t>
      </w:r>
      <w:r>
        <w:t>Externally deposited and jointly owned data has no registration path</w:t>
      </w:r>
    </w:p>
    <w:p w14:paraId="2331BA2D" w14:textId="77777777" w:rsidR="000877C3" w:rsidRDefault="00000000">
      <w:pPr>
        <w:pStyle w:val="ListBullet"/>
        <w:spacing w:after="40"/>
      </w:pPr>
      <w:r>
        <w:rPr>
          <w:b/>
        </w:rPr>
        <w:t xml:space="preserve">G16 </w:t>
      </w:r>
      <w:r>
        <w:t>Procedures.subject_id is scalar, so a reproductive chain spanning four animals cannot be filed</w:t>
      </w:r>
      <w:r>
        <w:rPr>
          <w:b/>
        </w:rPr>
        <w:t xml:space="preserve">  [inferred]</w:t>
      </w:r>
    </w:p>
    <w:p w14:paraId="45C014FB" w14:textId="77777777" w:rsidR="000877C3" w:rsidRDefault="00000000">
      <w:pPr>
        <w:spacing w:before="40"/>
      </w:pPr>
      <w:r>
        <w:rPr>
          <w:color w:val="666666"/>
          <w:sz w:val="17"/>
        </w:rPr>
        <w:t>7 further gap(s) of Medium or Low impact in the full report.</w:t>
      </w:r>
    </w:p>
    <w:p w14:paraId="74F1C9B5" w14:textId="77777777" w:rsidR="000877C3" w:rsidRDefault="00000000">
      <w:pPr>
        <w:spacing w:before="200" w:after="60"/>
      </w:pPr>
      <w:r>
        <w:rPr>
          <w:b/>
          <w:color w:val="666666"/>
          <w:sz w:val="17"/>
        </w:rPr>
        <w:t>ALREADY SEEN ELSEWHERE - ARGUES FOR A SCHEMA FIX, NOT A WORKAROUND</w:t>
      </w:r>
    </w:p>
    <w:p w14:paraId="7AD40D80" w14:textId="77777777" w:rsidR="000877C3" w:rsidRDefault="00000000">
      <w:pPr>
        <w:pStyle w:val="ListBullet"/>
        <w:spacing w:after="40"/>
      </w:pPr>
      <w:r>
        <w:rPr>
          <w:b/>
        </w:rPr>
        <w:t xml:space="preserve">G1 </w:t>
      </w:r>
      <w:r>
        <w:t>also in Patch-seq, Cell DIVE mIF, TEA-seq, Immunology, AICS</w:t>
      </w:r>
    </w:p>
    <w:p w14:paraId="3416E528" w14:textId="77777777" w:rsidR="000877C3" w:rsidRDefault="00000000">
      <w:pPr>
        <w:pStyle w:val="ListBullet"/>
        <w:spacing w:after="40"/>
      </w:pPr>
      <w:r>
        <w:rPr>
          <w:b/>
        </w:rPr>
        <w:lastRenderedPageBreak/>
        <w:t xml:space="preserve">G2 </w:t>
      </w:r>
      <w:r>
        <w:t>also in Patch-seq, Cell DIVE mIF, Immunology, AICS</w:t>
      </w:r>
    </w:p>
    <w:p w14:paraId="6D61FA88" w14:textId="77777777" w:rsidR="000877C3" w:rsidRDefault="00000000">
      <w:pPr>
        <w:pStyle w:val="ListBullet"/>
        <w:spacing w:after="40"/>
      </w:pPr>
      <w:r>
        <w:rPr>
          <w:b/>
        </w:rPr>
        <w:t xml:space="preserve">G3 </w:t>
      </w:r>
      <w:r>
        <w:t>also in Cell DIVE mIF, TEA-seq, Immunology</w:t>
      </w:r>
    </w:p>
    <w:p w14:paraId="62D52CCA" w14:textId="77777777" w:rsidR="000877C3" w:rsidRDefault="00000000">
      <w:pPr>
        <w:pStyle w:val="ListBullet"/>
        <w:spacing w:after="40"/>
      </w:pPr>
      <w:r>
        <w:rPr>
          <w:b/>
        </w:rPr>
        <w:t xml:space="preserve">G8 </w:t>
      </w:r>
      <w:r>
        <w:t>also in Patch-seq, Cell DIVE mIF, TEA-seq, Immunology, AICS</w:t>
      </w:r>
    </w:p>
    <w:p w14:paraId="2724251D" w14:textId="77777777" w:rsidR="000877C3" w:rsidRDefault="00000000">
      <w:pPr>
        <w:pStyle w:val="ListBullet"/>
        <w:spacing w:after="40"/>
      </w:pPr>
      <w:r>
        <w:rPr>
          <w:b/>
        </w:rPr>
        <w:t xml:space="preserve">G9 </w:t>
      </w:r>
      <w:r>
        <w:t>also in AICS, TEA-seq</w:t>
      </w:r>
    </w:p>
    <w:p w14:paraId="30B09A4F" w14:textId="77777777" w:rsidR="000877C3" w:rsidRDefault="00000000">
      <w:pPr>
        <w:pStyle w:val="ListBullet"/>
        <w:spacing w:after="40"/>
      </w:pPr>
      <w:r>
        <w:rPr>
          <w:b/>
        </w:rPr>
        <w:t xml:space="preserve">G11 </w:t>
      </w:r>
      <w:r>
        <w:t>also in Patch-seq, Cell DIVE mIF, Immunology, AICS</w:t>
      </w:r>
    </w:p>
    <w:p w14:paraId="021C9B33" w14:textId="77777777" w:rsidR="000877C3" w:rsidRDefault="00000000">
      <w:pPr>
        <w:pStyle w:val="ListBullet"/>
        <w:spacing w:after="40"/>
      </w:pPr>
      <w:r>
        <w:rPr>
          <w:b/>
        </w:rPr>
        <w:t xml:space="preserve">G13 </w:t>
      </w:r>
      <w:r>
        <w:t>also in Patch-seq, Immunology</w:t>
      </w:r>
    </w:p>
    <w:p w14:paraId="1E7AA67B" w14:textId="77777777" w:rsidR="000877C3" w:rsidRDefault="00000000">
      <w:pPr>
        <w:pStyle w:val="ListBullet"/>
        <w:spacing w:after="40"/>
      </w:pPr>
      <w:r>
        <w:rPr>
          <w:b/>
        </w:rPr>
        <w:t xml:space="preserve">G14 </w:t>
      </w:r>
      <w:r>
        <w:t>also in Patch-seq, Cell DIVE mIF, AICS</w:t>
      </w:r>
    </w:p>
    <w:p w14:paraId="625183F1" w14:textId="77777777" w:rsidR="000877C3" w:rsidRDefault="00000000">
      <w:pPr>
        <w:pStyle w:val="ListBullet"/>
        <w:spacing w:after="40"/>
      </w:pPr>
      <w:r>
        <w:rPr>
          <w:b/>
        </w:rPr>
        <w:t xml:space="preserve">G15 </w:t>
      </w:r>
      <w:r>
        <w:t>also in TEA-seq</w:t>
      </w:r>
    </w:p>
    <w:p w14:paraId="6C3F9B6D" w14:textId="77777777" w:rsidR="000877C3" w:rsidRDefault="00000000">
      <w:pPr>
        <w:pStyle w:val="ListBullet"/>
        <w:spacing w:after="40"/>
      </w:pPr>
      <w:r>
        <w:rPr>
          <w:b/>
        </w:rPr>
        <w:t xml:space="preserve">G17 </w:t>
      </w:r>
      <w:r>
        <w:t>also in TEA-seq</w:t>
      </w:r>
    </w:p>
    <w:p w14:paraId="5F3A8D7F" w14:textId="77777777" w:rsidR="000877C3" w:rsidRDefault="00000000">
      <w:pPr>
        <w:pStyle w:val="ListBullet"/>
        <w:spacing w:after="40"/>
      </w:pPr>
      <w:r>
        <w:rPr>
          <w:b/>
        </w:rPr>
        <w:t xml:space="preserve">G18 </w:t>
      </w:r>
      <w:r>
        <w:t>also in Patch-seq, TEA-seq</w:t>
      </w:r>
    </w:p>
    <w:p w14:paraId="6453265D" w14:textId="77777777" w:rsidR="000877C3" w:rsidRDefault="00000000">
      <w:pPr>
        <w:spacing w:before="200" w:after="60"/>
      </w:pPr>
      <w:r>
        <w:rPr>
          <w:b/>
          <w:color w:val="666666"/>
          <w:sz w:val="17"/>
        </w:rPr>
        <w:t>ADOPTS AN EXISTING EXTERNAL SPECIFICATION</w:t>
      </w:r>
    </w:p>
    <w:p w14:paraId="64F3A6D5" w14:textId="77777777" w:rsidR="000877C3" w:rsidRDefault="00000000">
      <w:pPr>
        <w:pStyle w:val="ListBullet"/>
        <w:spacing w:after="40"/>
      </w:pPr>
      <w:r>
        <w:rPr>
          <w:b/>
        </w:rPr>
        <w:t xml:space="preserve">R3 </w:t>
      </w:r>
      <w:r>
        <w:t>CELLxGENE Discover v7.1.0 — obs['assay_ontology_term_id'] and obs['suspension_type']  — commits us to its ontology; WS2 call</w:t>
      </w:r>
    </w:p>
    <w:p w14:paraId="72542C8A" w14:textId="77777777" w:rsidR="000877C3" w:rsidRDefault="00000000">
      <w:pPr>
        <w:pStyle w:val="ListBullet"/>
        <w:spacing w:after="40"/>
      </w:pPr>
      <w:r>
        <w:rPr>
          <w:b/>
        </w:rPr>
        <w:t xml:space="preserve">R5 </w:t>
      </w:r>
      <w:r>
        <w:t>CELLxGENE Discover v7.1.0 — obs['development_stage_ontology_term_id'], MmusDv  — commits us to its ontology; WS2 call</w:t>
      </w:r>
    </w:p>
    <w:p w14:paraId="223DB14E" w14:textId="77777777" w:rsidR="000877C3" w:rsidRDefault="00000000">
      <w:pPr>
        <w:spacing w:before="200" w:after="60"/>
      </w:pPr>
      <w:r>
        <w:rPr>
          <w:b/>
          <w:color w:val="666666"/>
          <w:sz w:val="17"/>
        </w:rPr>
        <w:t>NOT DETERMINED - DO NOT INFER THESE</w:t>
      </w:r>
    </w:p>
    <w:p w14:paraId="33C7CAE3" w14:textId="77777777" w:rsidR="000877C3" w:rsidRDefault="00000000">
      <w:pPr>
        <w:pStyle w:val="ListBullet"/>
        <w:spacing w:after="40"/>
      </w:pPr>
      <w:r>
        <w:t>Actual field names, types and cardinalities in SeaHub's Benchling configuration</w:t>
      </w:r>
      <w:r>
        <w:rPr>
          <w:b/>
        </w:rPr>
        <w:t xml:space="preserve">  → ask Kenny, who configured the Benchling instance, via Aishwarya Chander</w:t>
      </w:r>
    </w:p>
    <w:p w14:paraId="12BF403B" w14:textId="77777777" w:rsidR="000877C3" w:rsidRDefault="00000000">
      <w:pPr>
        <w:pStyle w:val="ListBullet"/>
        <w:spacing w:after="40"/>
      </w:pPr>
      <w:r>
        <w:t>Whether Benchling, Code Ocean or Google Sheets is the intended system of record for analysis-level metadata</w:t>
      </w:r>
      <w:r>
        <w:rPr>
          <w:b/>
        </w:rPr>
        <w:t xml:space="preserve">  → ask SeaHub computational staff, via Aishwarya Chander</w:t>
      </w:r>
    </w:p>
    <w:p w14:paraId="5B765902" w14:textId="12AA507A" w:rsidR="000877C3" w:rsidRDefault="00000000" w:rsidP="00DC6E6E">
      <w:pPr>
        <w:pStyle w:val="ListBullet"/>
        <w:spacing w:before="200" w:after="60"/>
      </w:pPr>
      <w:r>
        <w:t xml:space="preserve">Whether the NextCell browser and its intermediate files are in registry </w:t>
      </w:r>
      <w:proofErr w:type="gramStart"/>
      <w:r>
        <w:t>scope</w:t>
      </w:r>
      <w:r w:rsidRPr="00DC6E6E">
        <w:rPr>
          <w:b/>
        </w:rPr>
        <w:t xml:space="preserve">  →</w:t>
      </w:r>
      <w:proofErr w:type="gramEnd"/>
      <w:r w:rsidRPr="00DC6E6E">
        <w:rPr>
          <w:b/>
        </w:rPr>
        <w:t xml:space="preserve"> ask WS1, via Jess Thomas </w:t>
      </w:r>
    </w:p>
    <w:sectPr w:rsidR="000877C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859217">
    <w:abstractNumId w:val="8"/>
  </w:num>
  <w:num w:numId="2" w16cid:durableId="1521092517">
    <w:abstractNumId w:val="6"/>
  </w:num>
  <w:num w:numId="3" w16cid:durableId="1535192039">
    <w:abstractNumId w:val="5"/>
  </w:num>
  <w:num w:numId="4" w16cid:durableId="2002537260">
    <w:abstractNumId w:val="4"/>
  </w:num>
  <w:num w:numId="5" w16cid:durableId="1849708225">
    <w:abstractNumId w:val="7"/>
  </w:num>
  <w:num w:numId="6" w16cid:durableId="834297679">
    <w:abstractNumId w:val="3"/>
  </w:num>
  <w:num w:numId="7" w16cid:durableId="1491753372">
    <w:abstractNumId w:val="2"/>
  </w:num>
  <w:num w:numId="8" w16cid:durableId="1305740273">
    <w:abstractNumId w:val="1"/>
  </w:num>
  <w:num w:numId="9" w16cid:durableId="11913400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7C3"/>
    <w:rsid w:val="0015074B"/>
    <w:rsid w:val="0029639D"/>
    <w:rsid w:val="00326F90"/>
    <w:rsid w:val="007E6739"/>
    <w:rsid w:val="00AA1D8D"/>
    <w:rsid w:val="00B47730"/>
    <w:rsid w:val="00CB0664"/>
    <w:rsid w:val="00DC6E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4B1BF"/>
  <w14:defaultImageDpi w14:val="300"/>
  <w15:docId w15:val="{C8D0D9DE-7172-4A4F-A5DD-864CD405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674</Words>
  <Characters>3882</Characters>
  <Application>Microsoft Office Word</Application>
  <DocSecurity>0</DocSecurity>
  <Lines>68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Aishwarya Chander</cp:lastModifiedBy>
  <cp:revision>2</cp:revision>
  <dcterms:created xsi:type="dcterms:W3CDTF">2013-12-23T23:15:00Z</dcterms:created>
  <dcterms:modified xsi:type="dcterms:W3CDTF">2026-09-14T17:05:00Z</dcterms:modified>
  <cp:category/>
</cp:coreProperties>
</file>