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ESConv 简明记录（修正版）</w:t>
      </w:r>
    </w:p>
    <w:p>
      <w:pPr>
        <w:jc w:val="center"/>
      </w:pPr>
      <w:r>
        <w:t>2021 ESC Blender Joint 作为历史 baseline</w:t>
      </w:r>
    </w:p>
    <w:p>
      <w:pPr>
        <w:jc w:val="center"/>
      </w:pPr>
      <w:r>
        <w:t>2026-08-10</w:t>
      </w:r>
    </w:p>
    <w:p>
      <w:r>
        <w:rPr>
          <w:b/>
        </w:rPr>
        <w:t>重要修正：旧的 19.60% / 20.40% 来自错误的 checkpoint token 映射，已经撤回，不再使用。</w:t>
      </w:r>
    </w:p>
    <w:p>
      <w:pPr>
        <w:pStyle w:val="Heading1"/>
      </w:pPr>
      <w:r>
        <w:t>1. baseline 怎么定</w:t>
      </w:r>
    </w:p>
    <w:p>
      <w:r>
        <w:t>本项目把 2021 年 ESC Blender Joint 模型作为历史 baseline。Causal-ESC 的 53.53%只作为后续文献参考，不再叫 baseline。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721"/>
          </w:tcPr>
          <w:p>
            <w:pPr>
              <w:spacing w:after="0"/>
            </w:pPr>
            <w:r>
              <w:rPr>
                <w:b/>
                <w:sz w:val="20"/>
              </w:rPr>
              <w:t>范围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b/>
                <w:sz w:val="20"/>
              </w:rPr>
              <w:t>历史 baseline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>
              <w:rPr>
                <w:sz w:val="20"/>
              </w:rPr>
              <w:t>官方 full 2,775 条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20"/>
              </w:rPr>
              <w:t>Accuracy 暂定 32.22%（894/2,775）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20"/>
              </w:rPr>
              <w:t>修正 token 映射后的官方 checkpoint 重放</w:t>
            </w:r>
          </w:p>
        </w:tc>
      </w:tr>
      <w:tr>
        <w:tc>
          <w:tcPr>
            <w:tcW w:type="dxa" w:w="2721"/>
          </w:tcPr>
          <w:p>
            <w:pPr>
              <w:spacing w:after="0"/>
            </w:pPr>
            <w:r>
              <w:rPr>
                <w:sz w:val="20"/>
              </w:rPr>
              <w:t>固定前 250 条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20"/>
              </w:rPr>
              <w:t>Accuracy 暂定 37.60%（94/250）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20"/>
              </w:rPr>
              <w:t>用于和 DeepSeek、Qwen 做同批比较</w:t>
            </w:r>
          </w:p>
        </w:tc>
      </w:tr>
    </w:tbl>
    <w:p/>
    <w:p>
      <w:r>
        <w:t>“暂定”的原因：2021 原论文没有公开策略分类 Accuracy。这两个数字是 checkpoint 重放结果，还需要在 Python 3.7、Torch 1.7.1 和作者自带 Transformers 的冻结环境里复验并保存逐样本预测。</w:t>
      </w:r>
    </w:p>
    <w:p>
      <w:pPr>
        <w:pStyle w:val="Heading1"/>
      </w:pPr>
      <w:r>
        <w:t>2. 当前三个模型的准确率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2381"/>
          </w:tcPr>
          <w:p>
            <w:pPr>
              <w:spacing w:after="0"/>
            </w:pPr>
            <w:r>
              <w:rPr>
                <w:b/>
                <w:sz w:val="20"/>
              </w:rPr>
              <w:t>模型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b/>
                <w:sz w:val="20"/>
              </w:rPr>
              <w:t>测试范围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b/>
                <w:sz w:val="20"/>
              </w:rPr>
              <w:t>Accuracy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b/>
                <w:sz w:val="20"/>
              </w:rPr>
              <w:t>正确数</w:t>
            </w:r>
          </w:p>
        </w:tc>
        <w:tc>
          <w:tcPr>
            <w:tcW w:type="dxa" w:w="2665"/>
          </w:tcPr>
          <w:p>
            <w:pPr>
              <w:spacing w:after="0"/>
            </w:pPr>
            <w:r>
              <w:rPr>
                <w:b/>
                <w:sz w:val="20"/>
              </w:rPr>
              <w:t>距离历史 baseline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>
              <w:rPr>
                <w:sz w:val="20"/>
              </w:rPr>
              <w:t>ESC Blender Joint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20"/>
              </w:rPr>
              <w:t>fixed250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20"/>
              </w:rPr>
              <w:t>37.60%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20"/>
              </w:rPr>
              <w:t>94/250</w:t>
            </w:r>
          </w:p>
        </w:tc>
        <w:tc>
          <w:tcPr>
            <w:tcW w:type="dxa" w:w="2665"/>
          </w:tcPr>
          <w:p>
            <w:pPr>
              <w:spacing w:after="0"/>
            </w:pPr>
            <w:r>
              <w:rPr>
                <w:sz w:val="20"/>
              </w:rPr>
              <w:t>baseline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>
              <w:rPr>
                <w:sz w:val="20"/>
              </w:rPr>
              <w:t>DeepSeek V4-Pro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20"/>
              </w:rPr>
              <w:t>fixed250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20"/>
              </w:rPr>
              <w:t>14.80%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20"/>
              </w:rPr>
              <w:t>37/250</w:t>
            </w:r>
          </w:p>
        </w:tc>
        <w:tc>
          <w:tcPr>
            <w:tcW w:type="dxa" w:w="2665"/>
          </w:tcPr>
          <w:p>
            <w:pPr>
              <w:spacing w:after="0"/>
            </w:pPr>
            <w:r>
              <w:rPr>
                <w:sz w:val="20"/>
              </w:rPr>
              <w:t>差 22.80 个百分点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>
              <w:rPr>
                <w:sz w:val="20"/>
              </w:rPr>
              <w:t>Qwen3.6-27B（未微调）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20"/>
              </w:rPr>
              <w:t>fixed250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20"/>
              </w:rPr>
              <w:t>14.00%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20"/>
              </w:rPr>
              <w:t>35/250</w:t>
            </w:r>
          </w:p>
        </w:tc>
        <w:tc>
          <w:tcPr>
            <w:tcW w:type="dxa" w:w="2665"/>
          </w:tcPr>
          <w:p>
            <w:pPr>
              <w:spacing w:after="0"/>
            </w:pPr>
            <w:r>
              <w:rPr>
                <w:sz w:val="20"/>
              </w:rPr>
              <w:t>差 23.60 个百分点</w:t>
            </w:r>
          </w:p>
        </w:tc>
      </w:tr>
    </w:tbl>
    <w:p/>
    <w:p>
      <w:r>
        <w:t>如果只机械地和 Causal-ESC 53.53%相减，DeepSeek 差 38.73 个百分点，Qwen 差 39.53 个百分点。因为协议不一致，这两个差值不能写成正式模型差距。</w:t>
      </w:r>
    </w:p>
    <w:p>
      <w:pPr>
        <w:pStyle w:val="Heading1"/>
      </w:pPr>
      <w:r>
        <w:t>3. 2021 原论文原本报告了什么</w:t>
      </w:r>
    </w:p>
    <w:p>
      <w:r>
        <w:t>原论文是 Towards Emotional Support Dialog Systems（ACL 2021）。论文没有策略 Accuracy，公开的是回答生成指标和真人 A/B。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3061"/>
          </w:tcPr>
          <w:p>
            <w:pPr>
              <w:spacing w:after="0"/>
            </w:pPr>
            <w:r>
              <w:rPr>
                <w:b/>
                <w:sz w:val="20"/>
              </w:rPr>
              <w:t>模型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b/>
                <w:sz w:val="20"/>
              </w:rPr>
              <w:t>PPL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b/>
                <w:sz w:val="20"/>
              </w:rPr>
              <w:t>BLEU-2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b/>
                <w:sz w:val="20"/>
              </w:rPr>
              <w:t>ROUGE-L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b/>
                <w:sz w:val="20"/>
              </w:rPr>
              <w:t>Extrema</w:t>
            </w:r>
          </w:p>
        </w:tc>
      </w:tr>
      <w:tr>
        <w:tc>
          <w:tcPr>
            <w:tcW w:type="dxa" w:w="3061"/>
          </w:tcPr>
          <w:p>
            <w:pPr>
              <w:spacing w:after="0"/>
            </w:pPr>
            <w:r>
              <w:rPr>
                <w:sz w:val="20"/>
              </w:rPr>
              <w:t>BlenderBot Joint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20"/>
              </w:rPr>
              <w:t>修正后 18.61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20"/>
              </w:rPr>
              <w:t>5.35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20"/>
              </w:rPr>
              <w:t>15.46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20"/>
              </w:rPr>
              <w:t>50.27</w:t>
            </w:r>
          </w:p>
        </w:tc>
      </w:tr>
      <w:tr>
        <w:tc>
          <w:tcPr>
            <w:tcW w:type="dxa" w:w="3061"/>
          </w:tcPr>
          <w:p>
            <w:pPr>
              <w:spacing w:after="0"/>
            </w:pPr>
            <w:r>
              <w:rPr>
                <w:sz w:val="20"/>
              </w:rPr>
              <w:t>BlenderBot Oracle（真实策略）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20"/>
              </w:rPr>
              <w:t>修正后 18.61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20"/>
              </w:rPr>
              <w:t>6.31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20"/>
              </w:rPr>
              <w:t>17.90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20"/>
              </w:rPr>
              <w:t>51.65</w:t>
            </w:r>
          </w:p>
        </w:tc>
      </w:tr>
    </w:tbl>
    <w:p/>
    <w:p>
      <w:pPr>
        <w:pStyle w:val="ListBullet"/>
        <w:ind w:left="340" w:hanging="170"/>
      </w:pPr>
      <w:r>
        <w:t>Joint：先预测策略 token，再根据策略生成回复；本项目用它作为历史 baseline。</w:t>
      </w:r>
    </w:p>
    <w:p>
      <w:pPr>
        <w:pStyle w:val="ListBullet"/>
        <w:ind w:left="340" w:hanging="170"/>
      </w:pPr>
      <w:r>
        <w:t>Oracle：直接给真实策略，只代表策略正确时的生成上限，不作为 baseline。</w:t>
      </w:r>
    </w:p>
    <w:p>
      <w:pPr>
        <w:pStyle w:val="ListBullet"/>
        <w:ind w:left="340" w:hanging="170"/>
      </w:pPr>
      <w:r>
        <w:t>数据按对话做 6:2:2 划分。</w:t>
      </w:r>
    </w:p>
    <w:p>
      <w:pPr>
        <w:pStyle w:val="ListBullet"/>
        <w:ind w:left="340" w:hanging="170"/>
      </w:pPr>
      <w:r>
        <w:t>每个训练片段使用目标 supporter 回复及之前 4 条 utterance。</w:t>
      </w:r>
    </w:p>
    <w:p>
      <w:pPr>
        <w:pStyle w:val="ListBullet"/>
        <w:ind w:left="340" w:hanging="170"/>
      </w:pPr>
      <w:r>
        <w:t>BlenderBot-small 90M；学习率 5e-5；训练 5 epochs。</w:t>
      </w:r>
    </w:p>
    <w:p>
      <w:pPr>
        <w:pStyle w:val="ListBullet"/>
        <w:ind w:left="340" w:hanging="170"/>
      </w:pPr>
      <w:r>
        <w:t>按验证集 PPL 选择 checkpoint。</w:t>
      </w:r>
    </w:p>
    <w:p>
      <w:pPr>
        <w:pStyle w:val="ListBullet"/>
        <w:ind w:left="340" w:hanging="170"/>
      </w:pPr>
      <w:r>
        <w:t>生成参数为 top-p 0.9、top-k 30、temperature 0.7。</w:t>
      </w:r>
    </w:p>
    <w:p>
      <w:pPr>
        <w:pStyle w:val="Heading1"/>
      </w:pPr>
      <w:r>
        <w:t>4. 改善 ESConv 的后续论文</w:t>
      </w:r>
    </w:p>
    <w:p>
      <w:r>
        <w:t>下列结果都是 paper-reported、protocol-specific。数据版本、标签处理和切分并不完全一致，不能拼成严格排行榜。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871"/>
          </w:tcPr>
          <w:p>
            <w:pPr>
              <w:spacing w:after="0"/>
            </w:pPr>
            <w:r>
              <w:rPr>
                <w:b/>
                <w:sz w:val="20"/>
              </w:rPr>
              <w:t>论文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b/>
                <w:sz w:val="20"/>
              </w:rPr>
              <w:t>年份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b/>
                <w:sz w:val="20"/>
              </w:rPr>
              <w:t>主要方法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b/>
                <w:sz w:val="20"/>
              </w:rPr>
              <w:t>论文结果</w:t>
            </w:r>
          </w:p>
        </w:tc>
      </w:tr>
      <w:tr>
        <w:tc>
          <w:tcPr>
            <w:tcW w:type="dxa" w:w="1871"/>
          </w:tcPr>
          <w:p>
            <w:pPr>
              <w:spacing w:after="0"/>
            </w:pPr>
            <w:r>
              <w:rPr>
                <w:sz w:val="20"/>
              </w:rPr>
              <w:t>Causal-ESC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20"/>
              </w:rPr>
              <w:t>2026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20"/>
              </w:rPr>
              <w:t>Doubly Robust 因果策略学习，之后用 LLM 做风格重写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20"/>
              </w:rPr>
              <w:t>Accuracy 53.53%</w:t>
            </w:r>
          </w:p>
        </w:tc>
      </w:tr>
      <w:tr>
        <w:tc>
          <w:tcPr>
            <w:tcW w:type="dxa" w:w="1871"/>
          </w:tcPr>
          <w:p>
            <w:pPr>
              <w:spacing w:after="0"/>
            </w:pPr>
            <w:r>
              <w:rPr>
                <w:sz w:val="20"/>
              </w:rPr>
              <w:t>SAGE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20"/>
              </w:rPr>
              <w:t>2026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20"/>
              </w:rPr>
              <w:t>自检索、层级 ResID、策略约束解码、COMET/HEAL 重排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20"/>
              </w:rPr>
              <w:t>Accuracy 46.8%；Macro-F1 38.95%</w:t>
            </w:r>
          </w:p>
        </w:tc>
      </w:tr>
      <w:tr>
        <w:tc>
          <w:tcPr>
            <w:tcW w:type="dxa" w:w="1871"/>
          </w:tcPr>
          <w:p>
            <w:pPr>
              <w:spacing w:after="0"/>
            </w:pPr>
            <w:r>
              <w:rPr>
                <w:sz w:val="20"/>
              </w:rPr>
              <w:t>DPPLM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20"/>
              </w:rPr>
              <w:t>2025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20"/>
              </w:rPr>
              <w:t>情绪原因蕴含，动态控制策略和共情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20"/>
              </w:rPr>
              <w:t>Accuracy 58.03%</w:t>
            </w:r>
          </w:p>
        </w:tc>
      </w:tr>
      <w:tr>
        <w:tc>
          <w:tcPr>
            <w:tcW w:type="dxa" w:w="1871"/>
          </w:tcPr>
          <w:p>
            <w:pPr>
              <w:spacing w:after="0"/>
            </w:pPr>
            <w:r>
              <w:rPr>
                <w:sz w:val="20"/>
              </w:rPr>
              <w:t>GREEN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20"/>
              </w:rPr>
              <w:t>2025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20"/>
              </w:rPr>
              <w:t>生成式检索、ResID 上下文识别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20"/>
              </w:rPr>
              <w:t>Accuracy 38.8%</w:t>
            </w:r>
          </w:p>
        </w:tc>
      </w:tr>
      <w:tr>
        <w:tc>
          <w:tcPr>
            <w:tcW w:type="dxa" w:w="1871"/>
          </w:tcPr>
          <w:p>
            <w:pPr>
              <w:spacing w:after="0"/>
            </w:pPr>
            <w:r>
              <w:rPr>
                <w:sz w:val="20"/>
              </w:rPr>
              <w:t>EmoDynamiX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20"/>
              </w:rPr>
              <w:t>2025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20"/>
              </w:rPr>
              <w:t>异构图建模细粒度混合情绪和话语策略动态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20"/>
              </w:rPr>
              <w:t>主要报告 Macro/Weighted-F1，不混入本表排名</w:t>
            </w:r>
          </w:p>
        </w:tc>
      </w:tr>
      <w:tr>
        <w:tc>
          <w:tcPr>
            <w:tcW w:type="dxa" w:w="1871"/>
          </w:tcPr>
          <w:p>
            <w:pPr>
              <w:spacing w:after="0"/>
            </w:pPr>
            <w:r>
              <w:rPr>
                <w:sz w:val="20"/>
              </w:rPr>
              <w:t>MultiESC</w:t>
            </w:r>
          </w:p>
        </w:tc>
        <w:tc>
          <w:tcPr>
            <w:tcW w:type="dxa" w:w="907"/>
          </w:tcPr>
          <w:p>
            <w:pPr>
              <w:spacing w:after="0"/>
            </w:pPr>
            <w:r>
              <w:rPr>
                <w:sz w:val="20"/>
              </w:rPr>
              <w:t>2022</w:t>
            </w:r>
          </w:p>
        </w:tc>
        <w:tc>
          <w:tcPr>
            <w:tcW w:type="dxa" w:w="4252"/>
          </w:tcPr>
          <w:p>
            <w:pPr>
              <w:spacing w:after="0"/>
            </w:pPr>
            <w:r>
              <w:rPr>
                <w:sz w:val="20"/>
              </w:rPr>
              <w:t>多轮状态建模和前瞻式策略规划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20"/>
              </w:rPr>
              <w:t>Accuracy 42.01%；Weighted-F1 34.01%</w:t>
            </w:r>
          </w:p>
        </w:tc>
      </w:tr>
    </w:tbl>
    <w:p/>
    <w:p>
      <w:pPr>
        <w:pStyle w:val="Heading1"/>
      </w:pPr>
      <w:r>
        <w:t>5. 每篇方法记要</w:t>
      </w:r>
    </w:p>
    <w:p>
      <w:pPr>
        <w:pStyle w:val="Heading2"/>
      </w:pPr>
      <w:r>
        <w:t>Causal-ESC</w:t>
      </w:r>
    </w:p>
    <w:p>
      <w:pPr>
        <w:pStyle w:val="ListBullet"/>
        <w:ind w:left="340" w:hanging="170"/>
      </w:pPr>
      <w:r>
        <w:t>把策略选择当作离线策略学习问题。</w:t>
      </w:r>
    </w:p>
    <w:p>
      <w:pPr>
        <w:pStyle w:val="ListBullet"/>
        <w:ind w:left="340" w:hanging="170"/>
      </w:pPr>
      <w:r>
        <w:t>同时估计 outcome model 和 propensity model。</w:t>
      </w:r>
    </w:p>
    <w:p>
      <w:pPr>
        <w:pStyle w:val="ListBullet"/>
        <w:ind w:left="340" w:hanging="170"/>
      </w:pPr>
      <w:r>
        <w:t>使用 Doubly Robust 估计降低观察数据里的策略选择偏差。</w:t>
      </w:r>
    </w:p>
    <w:p>
      <w:pPr>
        <w:pStyle w:val="ListBullet"/>
        <w:ind w:left="340" w:hanging="170"/>
      </w:pPr>
      <w:r>
        <w:t>策略选定后再让 LLM 把结果改写成自然回答。</w:t>
      </w:r>
    </w:p>
    <w:p>
      <w:pPr>
        <w:pStyle w:val="Heading2"/>
      </w:pPr>
      <w:r>
        <w:t>SAGE</w:t>
      </w:r>
    </w:p>
    <w:p>
      <w:pPr>
        <w:pStyle w:val="ListBullet"/>
        <w:ind w:left="340" w:hanging="170"/>
      </w:pPr>
      <w:r>
        <w:t>把回答、策略、情绪和上下文编码成层级 ResID。</w:t>
      </w:r>
    </w:p>
    <w:p>
      <w:pPr>
        <w:pStyle w:val="ListBullet"/>
        <w:ind w:left="340" w:hanging="170"/>
      </w:pPr>
      <w:r>
        <w:t>根据情绪状态预测策略，并使用策略专属 trie 约束解码。</w:t>
      </w:r>
    </w:p>
    <w:p>
      <w:pPr>
        <w:pStyle w:val="ListBullet"/>
        <w:ind w:left="340" w:hanging="170"/>
      </w:pPr>
      <w:r>
        <w:t>用模型自评、COMET 常识和 HEAL 治疗知识进行重排。</w:t>
      </w:r>
    </w:p>
    <w:p>
      <w:pPr>
        <w:pStyle w:val="ListBullet"/>
        <w:ind w:left="340" w:hanging="170"/>
      </w:pPr>
      <w:r>
        <w:t>在 ESConv 上报告 46.8% Accuracy 和 38.95% Macro-F1。</w:t>
      </w:r>
    </w:p>
    <w:p>
      <w:pPr>
        <w:pStyle w:val="Heading2"/>
      </w:pPr>
      <w:r>
        <w:t>DPPLM</w:t>
      </w:r>
    </w:p>
    <w:p>
      <w:pPr>
        <w:pStyle w:val="ListBullet"/>
        <w:ind w:left="340" w:hanging="170"/>
      </w:pPr>
      <w:r>
        <w:t>使用 emotion-cause entailment 跟踪求助者情绪及其原因。</w:t>
      </w:r>
    </w:p>
    <w:p>
      <w:pPr>
        <w:pStyle w:val="ListBullet"/>
        <w:ind w:left="340" w:hanging="170"/>
      </w:pPr>
      <w:r>
        <w:t>通过两个属性模型控制策略与共情。</w:t>
      </w:r>
    </w:p>
    <w:p>
      <w:pPr>
        <w:pStyle w:val="ListBullet"/>
        <w:ind w:left="340" w:hanging="170"/>
      </w:pPr>
      <w:r>
        <w:t>重点是判断什么时候开始引导，避免过早给建议。</w:t>
      </w:r>
    </w:p>
    <w:p>
      <w:pPr>
        <w:pStyle w:val="Heading2"/>
      </w:pPr>
      <w:r>
        <w:t>GREEN</w:t>
      </w:r>
    </w:p>
    <w:p>
      <w:pPr>
        <w:pStyle w:val="ListBullet"/>
        <w:ind w:left="340" w:hanging="170"/>
      </w:pPr>
      <w:r>
        <w:t>从普通 embedding 相似度检索改成生成式检索。</w:t>
      </w:r>
    </w:p>
    <w:p>
      <w:pPr>
        <w:pStyle w:val="ListBullet"/>
        <w:ind w:left="340" w:hanging="170"/>
      </w:pPr>
      <w:r>
        <w:t>使用 ResID 表示对话上下文、情绪、支持策略和回复类型。</w:t>
      </w:r>
    </w:p>
    <w:p>
      <w:pPr>
        <w:pStyle w:val="ListBullet"/>
        <w:ind w:left="340" w:hanging="170"/>
      </w:pPr>
      <w:r>
        <w:t>论文使用后来扩充到 1,300 段对话的 ESConv，因此不能直接替换 2021 baseline。</w:t>
      </w:r>
    </w:p>
    <w:p>
      <w:pPr>
        <w:pStyle w:val="Heading2"/>
      </w:pPr>
      <w:r>
        <w:t>EmoDynamiX</w:t>
      </w:r>
    </w:p>
    <w:p>
      <w:pPr>
        <w:pStyle w:val="ListBullet"/>
        <w:ind w:left="340" w:hanging="170"/>
      </w:pPr>
      <w:r>
        <w:t>把策略预测与回复生成解耦。</w:t>
      </w:r>
    </w:p>
    <w:p>
      <w:pPr>
        <w:pStyle w:val="ListBullet"/>
        <w:ind w:left="340" w:hanging="170"/>
      </w:pPr>
      <w:r>
        <w:t>使用异构图建模用户细粒度情绪和系统策略之间的话语动态。</w:t>
      </w:r>
    </w:p>
    <w:p>
      <w:pPr>
        <w:pStyle w:val="ListBullet"/>
        <w:ind w:left="340" w:hanging="170"/>
      </w:pPr>
      <w:r>
        <w:t>重点报告 F1、偏好偏差和可追溯性，不建议强行放进 Accuracy 排名。</w:t>
      </w:r>
    </w:p>
    <w:p>
      <w:pPr>
        <w:pStyle w:val="Heading2"/>
      </w:pPr>
      <w:r>
        <w:t>MultiESC</w:t>
      </w:r>
    </w:p>
    <w:p>
      <w:pPr>
        <w:pStyle w:val="ListBullet"/>
        <w:ind w:left="340" w:hanging="170"/>
      </w:pPr>
      <w:r>
        <w:t>先建模多轮用户状态，再对未来策略进行 lookahead 规划。</w:t>
      </w:r>
    </w:p>
    <w:p>
      <w:pPr>
        <w:pStyle w:val="ListBullet"/>
        <w:ind w:left="340" w:hanging="170"/>
      </w:pPr>
      <w:r>
        <w:t>原论文 Table 3 报告 Accuracy 42.01%、Weighted-F1 34.01%。</w:t>
      </w:r>
    </w:p>
    <w:p>
      <w:pPr>
        <w:pStyle w:val="ListBullet"/>
        <w:ind w:left="340" w:hanging="170"/>
      </w:pPr>
      <w:r>
        <w:t>其标签和数据处理经过修改，必须写明论文协议。</w:t>
      </w:r>
    </w:p>
    <w:p>
      <w:pPr>
        <w:pStyle w:val="Heading1"/>
      </w:pPr>
      <w:r>
        <w:t>6. 我们实际运行到哪里</w:t>
      </w:r>
    </w:p>
    <w:p>
      <w:pPr>
        <w:pStyle w:val="ListBullet"/>
        <w:ind w:left="340" w:hanging="170"/>
      </w:pPr>
      <w:r>
        <w:t>已经完成作者官方 Joint checkpoint 的修正 token 映射重放。</w:t>
      </w:r>
    </w:p>
    <w:p>
      <w:pPr>
        <w:pStyle w:val="ListBullet"/>
        <w:ind w:left="340" w:hanging="170"/>
      </w:pPr>
      <w:r>
        <w:t>full 2,775 暂定为 32.2162%，即 894/2,775。</w:t>
      </w:r>
    </w:p>
    <w:p>
      <w:pPr>
        <w:pStyle w:val="ListBullet"/>
        <w:ind w:left="340" w:hanging="170"/>
      </w:pPr>
      <w:r>
        <w:t>fixed250 暂定为 37.60%，即 94/250。</w:t>
      </w:r>
    </w:p>
    <w:p>
      <w:pPr>
        <w:pStyle w:val="ListBullet"/>
        <w:ind w:left="340" w:hanging="170"/>
      </w:pPr>
      <w:r>
        <w:t>这不是从随机权重重新训练 5 epochs。</w:t>
      </w:r>
    </w:p>
    <w:p>
      <w:pPr>
        <w:pStyle w:val="ListBullet"/>
        <w:ind w:left="340" w:hanging="170"/>
      </w:pPr>
      <w:r>
        <w:t>下一步是在原始冻结依赖环境里重跑，并保存每条样本的 gold、prediction 和 token ID。</w:t>
      </w:r>
    </w:p>
    <w:p>
      <w:pPr>
        <w:pStyle w:val="Heading1"/>
      </w:pPr>
      <w:r>
        <w:t>7. 最后采用的写法</w:t>
      </w:r>
    </w:p>
    <w:p>
      <w:r>
        <w:t>本项目选用 ESConv。历史模型参考采用修正后的 2021 ESC Blender Joint checkpoint 重放结果：full-test Accuracy 暂定 32.22%，fixed250 暂定 37.60%；Causal-ESC 的 53.53%仅作为后续文献参考成绩，不作为同协议 baseline。DeepSeek V4-Pro 和未微调 Qwen3.6-27B 在 fixed250 上分别为 14.80%和14.00%。</w:t>
      </w:r>
    </w:p>
    <w:p>
      <w:pPr>
        <w:pStyle w:val="Heading1"/>
      </w:pPr>
      <w:r>
        <w:t>8. 来源</w:t>
      </w:r>
    </w:p>
    <w:p>
      <w:r>
        <w:t>ESConv 原论文：https://aclanthology.org/2021.acl-long.269/</w:t>
      </w:r>
    </w:p>
    <w:p>
      <w:r>
        <w:t>Causal-ESC：https://aclanthology.org/2026.acl-long.886/</w:t>
      </w:r>
    </w:p>
    <w:p>
      <w:r>
        <w:t>SAGE：https://www.sciencedirect.com/science/article/pii/S0957417426004379</w:t>
      </w:r>
    </w:p>
    <w:p>
      <w:r>
        <w:t>DPPLM：https://researchoutput.ncku.edu.tw/en/publications/applying-emotion-cause-entailment-for-help-seeker-guidance-in-emo/</w:t>
      </w:r>
    </w:p>
    <w:p>
      <w:r>
        <w:t>GREEN：https://journals.sagepub.com/doi/10.1177/21582440251395922</w:t>
      </w:r>
    </w:p>
    <w:p>
      <w:r>
        <w:t>EmoDynamiX：https://aclanthology.org/2025.naacl-long.81/</w:t>
      </w:r>
    </w:p>
    <w:p>
      <w:r>
        <w:t>MultiESC：https://aclanthology.org/2022.emnlp-main.195/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80"/>
    </w:pPr>
    <w:rPr>
      <w:rFonts w:ascii="Kaiti SC" w:hAnsi="Kaiti SC" w:eastAsia="楷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Kaiti SC" w:hAnsi="Kaiti SC" w:eastAsia="楷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Kaiti SC" w:hAnsi="Kaiti SC" w:eastAsia="楷体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160"/>
      <w:contextualSpacing/>
    </w:pPr>
    <w:rPr>
      <w:rFonts w:asciiTheme="majorHAnsi" w:eastAsiaTheme="majorEastAsia" w:hAnsiTheme="majorHAnsi" w:cstheme="majorBidi" w:ascii="Kaiti SC" w:hAnsi="Kaiti SC" w:eastAsia="楷体"/>
      <w:b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