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F7A643" w14:textId="77777777" w:rsidR="003618EC" w:rsidRPr="001C55B3" w:rsidRDefault="003618EC" w:rsidP="003618EC">
      <w:pPr>
        <w:pStyle w:val="NormalWeb"/>
        <w:spacing w:before="0" w:beforeAutospacing="0" w:after="240" w:afterAutospacing="0"/>
        <w:rPr>
          <w:rFonts w:ascii="Arial" w:hAnsi="Arial" w:cs="Arial"/>
          <w:sz w:val="22"/>
          <w:szCs w:val="22"/>
        </w:rPr>
      </w:pPr>
      <w:r w:rsidRPr="001C55B3">
        <w:rPr>
          <w:rFonts w:ascii="Arial" w:hAnsi="Arial" w:cs="Arial"/>
          <w:b/>
          <w:bCs/>
          <w:sz w:val="22"/>
          <w:szCs w:val="22"/>
        </w:rPr>
        <w:t xml:space="preserve">BARseq/MAPseq </w:t>
      </w:r>
      <w:r>
        <w:rPr>
          <w:rFonts w:ascii="Arial" w:hAnsi="Arial" w:cs="Arial"/>
          <w:b/>
          <w:bCs/>
          <w:sz w:val="22"/>
          <w:szCs w:val="22"/>
        </w:rPr>
        <w:t>M</w:t>
      </w:r>
      <w:r w:rsidRPr="001C55B3">
        <w:rPr>
          <w:rFonts w:ascii="Arial" w:hAnsi="Arial" w:cs="Arial"/>
          <w:b/>
          <w:bCs/>
          <w:sz w:val="22"/>
          <w:szCs w:val="22"/>
        </w:rPr>
        <w:t>ethods</w:t>
      </w:r>
      <w:r>
        <w:rPr>
          <w:rFonts w:ascii="Arial" w:hAnsi="Arial" w:cs="Arial"/>
          <w:b/>
          <w:bCs/>
          <w:sz w:val="22"/>
          <w:szCs w:val="22"/>
        </w:rPr>
        <w:t xml:space="preserve"> </w:t>
      </w:r>
    </w:p>
    <w:p w14:paraId="18B23C4C" w14:textId="77777777" w:rsidR="003618EC" w:rsidRPr="001C55B3" w:rsidRDefault="003618EC" w:rsidP="003618EC">
      <w:pPr>
        <w:pStyle w:val="NormalWeb"/>
        <w:spacing w:before="0" w:beforeAutospacing="0" w:after="0" w:afterAutospacing="0"/>
        <w:rPr>
          <w:rFonts w:ascii="Arial" w:hAnsi="Arial" w:cs="Arial"/>
          <w:sz w:val="22"/>
          <w:szCs w:val="22"/>
        </w:rPr>
      </w:pPr>
      <w:r w:rsidRPr="001C55B3">
        <w:rPr>
          <w:rFonts w:ascii="Arial" w:hAnsi="Arial" w:cs="Arial"/>
          <w:b/>
          <w:bCs/>
          <w:i/>
          <w:iCs/>
          <w:sz w:val="22"/>
          <w:szCs w:val="22"/>
        </w:rPr>
        <w:t>Animals</w:t>
      </w:r>
    </w:p>
    <w:p w14:paraId="08BFEEED" w14:textId="77777777" w:rsidR="003618EC" w:rsidRPr="001C55B3" w:rsidRDefault="003618EC" w:rsidP="003618EC">
      <w:pPr>
        <w:pStyle w:val="NormalWeb"/>
        <w:spacing w:before="0" w:beforeAutospacing="0" w:after="240" w:afterAutospacing="0"/>
        <w:rPr>
          <w:rFonts w:ascii="Arial" w:hAnsi="Arial" w:cs="Arial"/>
          <w:sz w:val="22"/>
          <w:szCs w:val="22"/>
        </w:rPr>
      </w:pPr>
      <w:r w:rsidRPr="001C55B3">
        <w:rPr>
          <w:rFonts w:ascii="Arial" w:hAnsi="Arial" w:cs="Arial"/>
          <w:sz w:val="22"/>
          <w:szCs w:val="22"/>
        </w:rPr>
        <w:t>All animal and surgical procedures were carried out in accordance with the Institutional Animal Care and Use Committee at Allen Institute for Neural Dynamics. 8</w:t>
      </w:r>
      <w:r>
        <w:rPr>
          <w:rFonts w:ascii="Arial" w:hAnsi="Arial" w:cs="Arial"/>
          <w:sz w:val="22"/>
          <w:szCs w:val="22"/>
        </w:rPr>
        <w:t>-</w:t>
      </w:r>
      <w:r w:rsidRPr="001C55B3">
        <w:rPr>
          <w:rFonts w:ascii="Arial" w:hAnsi="Arial" w:cs="Arial"/>
          <w:sz w:val="22"/>
          <w:szCs w:val="22"/>
        </w:rPr>
        <w:t xml:space="preserve">week-old C57BL/6J animals purchased from Jackson Laboratory were acclimated to Allen Institute facility for at least one week prior to surgery. Animals were socially housed on a 12-h on/12-h off light cycle with ad libitum access to standard chow and water. The temperature in the facility was kept at 22 °C and humidity was maintained at 45–55%. </w:t>
      </w:r>
    </w:p>
    <w:p w14:paraId="463DC03B" w14:textId="77777777" w:rsidR="003618EC" w:rsidRPr="001C55B3" w:rsidRDefault="003618EC" w:rsidP="003618EC">
      <w:pPr>
        <w:pStyle w:val="NormalWeb"/>
        <w:spacing w:before="0" w:beforeAutospacing="0" w:after="0" w:afterAutospacing="0"/>
        <w:rPr>
          <w:rFonts w:ascii="Arial" w:hAnsi="Arial" w:cs="Arial"/>
          <w:sz w:val="22"/>
          <w:szCs w:val="22"/>
        </w:rPr>
      </w:pPr>
      <w:r w:rsidRPr="001C55B3">
        <w:rPr>
          <w:rFonts w:ascii="Arial" w:hAnsi="Arial" w:cs="Arial"/>
          <w:b/>
          <w:bCs/>
          <w:i/>
          <w:iCs/>
          <w:sz w:val="22"/>
          <w:szCs w:val="22"/>
        </w:rPr>
        <w:t>Barcoded Sindbis viral library</w:t>
      </w:r>
    </w:p>
    <w:p w14:paraId="4A0471DF" w14:textId="77777777" w:rsidR="003618EC" w:rsidRPr="001C55B3" w:rsidRDefault="003618EC" w:rsidP="003618EC">
      <w:pPr>
        <w:pStyle w:val="NormalWeb"/>
        <w:spacing w:before="0" w:beforeAutospacing="0" w:after="240" w:afterAutospacing="0"/>
        <w:rPr>
          <w:rFonts w:ascii="Arial" w:hAnsi="Arial" w:cs="Arial"/>
          <w:sz w:val="22"/>
          <w:szCs w:val="22"/>
        </w:rPr>
      </w:pPr>
      <w:r>
        <w:rPr>
          <w:rFonts w:ascii="Arial" w:hAnsi="Arial" w:cs="Arial"/>
          <w:sz w:val="22"/>
          <w:szCs w:val="22"/>
        </w:rPr>
        <w:t>The s</w:t>
      </w:r>
      <w:r w:rsidRPr="001C55B3">
        <w:rPr>
          <w:rFonts w:ascii="Arial" w:hAnsi="Arial" w:cs="Arial"/>
          <w:sz w:val="22"/>
          <w:szCs w:val="22"/>
        </w:rPr>
        <w:t xml:space="preserve">indbis virus </w:t>
      </w:r>
      <w:r>
        <w:rPr>
          <w:rFonts w:ascii="Arial" w:hAnsi="Arial" w:cs="Arial"/>
          <w:sz w:val="22"/>
          <w:szCs w:val="22"/>
        </w:rPr>
        <w:t xml:space="preserve">barcode </w:t>
      </w:r>
      <w:r w:rsidRPr="001C55B3">
        <w:rPr>
          <w:rFonts w:ascii="Arial" w:hAnsi="Arial" w:cs="Arial"/>
          <w:sz w:val="22"/>
          <w:szCs w:val="22"/>
        </w:rPr>
        <w:t xml:space="preserve">library HZ120 </w:t>
      </w:r>
      <w:r>
        <w:rPr>
          <w:rFonts w:ascii="Arial" w:hAnsi="Arial" w:cs="Arial"/>
          <w:sz w:val="22"/>
          <w:szCs w:val="22"/>
        </w:rPr>
        <w:fldChar w:fldCharType="begin"/>
      </w:r>
      <w:r>
        <w:rPr>
          <w:rFonts w:ascii="Arial" w:hAnsi="Arial" w:cs="Arial"/>
          <w:sz w:val="22"/>
          <w:szCs w:val="22"/>
        </w:rPr>
        <w:instrText xml:space="preserve"> ADDIN ZOTERO_ITEM CSL_CITATION {"citationID":"8ey7vTSz","properties":{"formattedCitation":"(Yuan et al. 2024)","plainCitation":"(Yuan et al. 2024)","noteIndex":0},"citationItems":[{"id":337,"uris":["http://zotero.org/users/11895209/items/P2N9LTN9"],"itemData":{"id":337,"type":"article","abstract":"Neurons in the cortex are heterogeneous, sending diverse axonal projections to multiple brain regions. Unraveling the logic of these projections requires single-neuron resolution. Although a growing number of techniques have enabled high-throughput reconstruction, these techniques are typically limited to dozens or at most hundreds of neurons per brain, requiring that statistical analyses combine data from different specimens. Here we present axonal BARseq, a high-throughput approach based on reading out nucleic acid barcodes using in situ RNA sequencing, which enables analysis of even densely labeled neurons. As a proof of principle, we have mapped the long-range projections of &gt;8,000 mouse primary auditory cortex neurons from a single brain. We identified major cell types based on projection targets and axonal trajectory. The large sample size enabled us to systematically quantify the projections of intratelencephalic (IT) neurons, and revealed that individual IT neurons project to different layers in an area-dependent fashion. Axonal BARseq is a powerful technique for studying the heterogeneity of single neuronal projections at high throughput within individual brains.","DOI":"10.1101/2023.02.18.528865","language":"en","license":"© 2024, Posted by Cold Spring Harbor Laboratory. This pre-print is available under a Creative Commons License (Attribution 4.0 International), CC BY 4.0, as described at http://creativecommons.org/licenses/by/4.0/","note":"page: 2023.02.18.528865\nsection: New Results","publisher":"bioRxiv","source":"bioRxiv","title":"Massive Multiplexing of Spatially Resolved Single Neuron Projections with Axonal BARseq","URL":"https://www.biorxiv.org/content/10.1101/2023.02.18.528865v2","author":[{"family":"Yuan","given":"Li"},{"family":"Chen","given":"Xiaoyin"},{"family":"Zhan","given":"Huiqing"},{"family":"Gilbert","given":"Henry L."},{"family":"Zador","given":"Anthony M."}],"accessed":{"date-parts":[["2024",4,3]]},"issued":{"date-parts":[["2024",2,21]]}}}],"schema":"https://github.com/citation-style-language/schema/raw/master/csl-citation.json"} </w:instrText>
      </w:r>
      <w:r>
        <w:rPr>
          <w:rFonts w:ascii="Arial" w:hAnsi="Arial" w:cs="Arial"/>
          <w:sz w:val="22"/>
          <w:szCs w:val="22"/>
        </w:rPr>
        <w:fldChar w:fldCharType="separate"/>
      </w:r>
      <w:r>
        <w:rPr>
          <w:rFonts w:ascii="Arial" w:hAnsi="Arial" w:cs="Arial"/>
          <w:noProof/>
          <w:sz w:val="22"/>
          <w:szCs w:val="22"/>
        </w:rPr>
        <w:t>(Yuan et al. 2024)</w:t>
      </w:r>
      <w:r>
        <w:rPr>
          <w:rFonts w:ascii="Arial" w:hAnsi="Arial" w:cs="Arial"/>
          <w:sz w:val="22"/>
          <w:szCs w:val="22"/>
        </w:rPr>
        <w:fldChar w:fldCharType="end"/>
      </w:r>
      <w:r w:rsidRPr="001C55B3">
        <w:rPr>
          <w:rFonts w:ascii="Arial" w:hAnsi="Arial" w:cs="Arial"/>
          <w:sz w:val="22"/>
          <w:szCs w:val="22"/>
        </w:rPr>
        <w:t xml:space="preserve"> was generated </w:t>
      </w:r>
      <w:r>
        <w:rPr>
          <w:rFonts w:ascii="Arial" w:hAnsi="Arial" w:cs="Arial"/>
          <w:sz w:val="22"/>
          <w:szCs w:val="22"/>
        </w:rPr>
        <w:t>by the MAPseq core facility at Cold Spring Harbor Laboratory and</w:t>
      </w:r>
      <w:r w:rsidRPr="001C55B3">
        <w:rPr>
          <w:rFonts w:ascii="Arial" w:hAnsi="Arial" w:cs="Arial"/>
          <w:sz w:val="22"/>
          <w:szCs w:val="22"/>
        </w:rPr>
        <w:t xml:space="preserve"> used for MAPseq and BARseq experiments as described previously </w:t>
      </w:r>
      <w:r>
        <w:rPr>
          <w:rFonts w:ascii="Arial" w:hAnsi="Arial" w:cs="Arial"/>
          <w:sz w:val="22"/>
          <w:szCs w:val="22"/>
        </w:rPr>
        <w:fldChar w:fldCharType="begin"/>
      </w:r>
      <w:r>
        <w:rPr>
          <w:rFonts w:ascii="Arial" w:hAnsi="Arial" w:cs="Arial"/>
          <w:sz w:val="22"/>
          <w:szCs w:val="22"/>
        </w:rPr>
        <w:instrText xml:space="preserve"> ADDIN ZOTERO_ITEM CSL_CITATION {"citationID":"e0qxZAXZ","properties":{"formattedCitation":"(Chen et al. 2019)","plainCitation":"(Chen et al. 2019)","noteIndex":0},"citationItems":[{"id":345,"uris":["http://zotero.org/users/11895209/items/JP79LDGU"],"itemData":{"id":345,"type":"article-journal","abstract":"Understanding neural circuits requires deciphering interactions among myriad cell types defined by spatial organization, connectivity, gene expression, and other properties. Resolving these cell types requires both single-neuron resolution and high throughput, a challenging combination with conventional methods. Here, we introduce barcoded anatomy resolved by sequencing (BARseq), a multiplexed method based on RNA barcoding for mapping projections of thousands of spatially resolved neurons in a single brain and relating those projections to other properties such as gene or Cre expression. Mapping the projections to 11 areas of 3,579 neurons in mouse auditory cortex using BARseq confirmed the laminar organization of the three top classes (intratelencephalic [IT], pyramidal tract-like [PT-like], and corticothalamic [CT]) of projection neurons. In depth analysis uncovered a projection type restricted almost exclusively to transcriptionally defined subtypes of IT neurons. By bridging anatomical and transcriptomic approaches at cellular resolution with high throughput, BARseq can potentially uncover the organizing principles underlying the structure and formation of neural circuits.","container-title":"Cell","DOI":"10.1016/j.cell.2019.09.023","ISSN":"0092-8674","issue":"3","journalAbbreviation":"Cell","page":"772-786.e19","source":"ScienceDirect","title":"High-Throughput Mapping of Long-Range Neuronal Projection Using &lt;i&gt;In Situ&lt;/i&gt; Sequencing","volume":"179","author":[{"family":"Chen","given":"Xiaoyin"},{"family":"Sun","given":"Yu-Chi"},{"family":"Zhan","given":"Huiqing"},{"family":"Kebschull","given":"Justus M."},{"family":"Fischer","given":"Stephan"},{"family":"Matho","given":"Katherine"},{"family":"Huang","given":"Z. Josh"},{"family":"Gillis","given":"Jesse"},{"family":"Zador","given":"Anthony M."}],"issued":{"date-parts":[["2019",10,17]]}}}],"schema":"https://github.com/citation-style-language/schema/raw/master/csl-citation.json"} </w:instrText>
      </w:r>
      <w:r>
        <w:rPr>
          <w:rFonts w:ascii="Arial" w:hAnsi="Arial" w:cs="Arial"/>
          <w:sz w:val="22"/>
          <w:szCs w:val="22"/>
        </w:rPr>
        <w:fldChar w:fldCharType="separate"/>
      </w:r>
      <w:r>
        <w:rPr>
          <w:rFonts w:ascii="Arial" w:hAnsi="Arial" w:cs="Arial"/>
          <w:noProof/>
          <w:sz w:val="22"/>
          <w:szCs w:val="22"/>
        </w:rPr>
        <w:t>(Chen et al. 2019)</w:t>
      </w:r>
      <w:r>
        <w:rPr>
          <w:rFonts w:ascii="Arial" w:hAnsi="Arial" w:cs="Arial"/>
          <w:sz w:val="22"/>
          <w:szCs w:val="22"/>
        </w:rPr>
        <w:fldChar w:fldCharType="end"/>
      </w:r>
      <w:r>
        <w:rPr>
          <w:rFonts w:ascii="Arial" w:hAnsi="Arial" w:cs="Arial"/>
          <w:sz w:val="22"/>
          <w:szCs w:val="22"/>
        </w:rPr>
        <w:t xml:space="preserve">. The HZ120 library exhibits a diversity of ~8 million barcodes and was not fully sequenced </w:t>
      </w:r>
      <w:r w:rsidRPr="008B1E0F">
        <w:rPr>
          <w:rFonts w:ascii="Arial" w:hAnsi="Arial" w:cs="Arial"/>
          <w:i/>
          <w:iCs/>
          <w:sz w:val="22"/>
          <w:szCs w:val="22"/>
        </w:rPr>
        <w:t>in vitro</w:t>
      </w:r>
      <w:r>
        <w:rPr>
          <w:rFonts w:ascii="Arial" w:hAnsi="Arial" w:cs="Arial"/>
          <w:sz w:val="22"/>
          <w:szCs w:val="22"/>
        </w:rPr>
        <w:t>.</w:t>
      </w:r>
      <w:r w:rsidRPr="001C55B3">
        <w:rPr>
          <w:rFonts w:ascii="Arial" w:hAnsi="Arial" w:cs="Arial"/>
          <w:sz w:val="22"/>
          <w:szCs w:val="22"/>
        </w:rPr>
        <w:t xml:space="preserve"> </w:t>
      </w:r>
    </w:p>
    <w:p w14:paraId="27915B12" w14:textId="77777777" w:rsidR="003618EC" w:rsidRPr="001C55B3" w:rsidRDefault="003618EC" w:rsidP="003618EC">
      <w:pPr>
        <w:pStyle w:val="NormalWeb"/>
        <w:spacing w:before="0" w:beforeAutospacing="0" w:after="0" w:afterAutospacing="0"/>
        <w:rPr>
          <w:rFonts w:ascii="Arial" w:hAnsi="Arial" w:cs="Arial"/>
          <w:b/>
          <w:bCs/>
          <w:i/>
          <w:iCs/>
          <w:sz w:val="22"/>
          <w:szCs w:val="22"/>
        </w:rPr>
      </w:pPr>
      <w:r w:rsidRPr="001C55B3">
        <w:rPr>
          <w:rFonts w:ascii="Arial" w:hAnsi="Arial" w:cs="Arial"/>
          <w:b/>
          <w:bCs/>
          <w:i/>
          <w:iCs/>
          <w:sz w:val="22"/>
          <w:szCs w:val="22"/>
        </w:rPr>
        <w:t>Viral labelling of Locus Coeruleus Noradrenergic neurons</w:t>
      </w:r>
    </w:p>
    <w:p w14:paraId="0E5F79F7" w14:textId="77777777" w:rsidR="003618EC" w:rsidRPr="001C55B3" w:rsidRDefault="003618EC" w:rsidP="003618EC">
      <w:pPr>
        <w:pStyle w:val="NormalWeb"/>
        <w:spacing w:before="0" w:beforeAutospacing="0" w:after="240" w:afterAutospacing="0"/>
        <w:rPr>
          <w:rFonts w:ascii="Arial" w:hAnsi="Arial" w:cs="Arial"/>
          <w:sz w:val="22"/>
          <w:szCs w:val="22"/>
        </w:rPr>
      </w:pPr>
      <w:r w:rsidRPr="001C55B3">
        <w:rPr>
          <w:rFonts w:ascii="Arial" w:hAnsi="Arial" w:cs="Arial"/>
          <w:sz w:val="22"/>
          <w:szCs w:val="22"/>
        </w:rPr>
        <w:t xml:space="preserve">Mice were anesthetized using oxygenated 4% isoflurane and maintained with oxygenated 0.7–1.0% isoflurane throughout the surgery. Animals were mounted in a stereotaxic frame (David Kopf Instruments), and small craniotomies were performed in the skull above the Locus Coeruleus. We injected a total of 300 nL </w:t>
      </w:r>
      <w:r>
        <w:rPr>
          <w:rFonts w:ascii="Arial" w:hAnsi="Arial" w:cs="Arial"/>
          <w:sz w:val="22"/>
          <w:szCs w:val="22"/>
        </w:rPr>
        <w:t xml:space="preserve">HZ120 </w:t>
      </w:r>
      <w:r w:rsidRPr="001C55B3">
        <w:rPr>
          <w:rFonts w:ascii="Arial" w:hAnsi="Arial" w:cs="Arial"/>
          <w:sz w:val="22"/>
          <w:szCs w:val="22"/>
        </w:rPr>
        <w:t>Sindbis virus in each hemisphere at AP -5.2; ML 0.85; DV -3.20, -2.90 using NanoInject III pressure injection (SOP A</w:t>
      </w:r>
      <w:r>
        <w:rPr>
          <w:rFonts w:ascii="Arial" w:hAnsi="Arial" w:cs="Arial"/>
          <w:sz w:val="22"/>
          <w:szCs w:val="22"/>
        </w:rPr>
        <w:t>F</w:t>
      </w:r>
      <w:r w:rsidRPr="001C55B3">
        <w:rPr>
          <w:rFonts w:ascii="Arial" w:hAnsi="Arial" w:cs="Arial"/>
          <w:sz w:val="22"/>
          <w:szCs w:val="22"/>
        </w:rPr>
        <w:t>0111). Mice were allowed to recover and euthanized 2</w:t>
      </w:r>
      <w:r>
        <w:rPr>
          <w:rFonts w:ascii="Arial" w:hAnsi="Arial" w:cs="Arial"/>
          <w:sz w:val="22"/>
          <w:szCs w:val="22"/>
        </w:rPr>
        <w:t>2</w:t>
      </w:r>
      <w:r w:rsidRPr="001C55B3">
        <w:rPr>
          <w:rFonts w:ascii="Arial" w:hAnsi="Arial" w:cs="Arial"/>
          <w:sz w:val="22"/>
          <w:szCs w:val="22"/>
        </w:rPr>
        <w:t>–28 h post-injection.</w:t>
      </w:r>
    </w:p>
    <w:p w14:paraId="7FD6A396" w14:textId="77777777" w:rsidR="003618EC" w:rsidRPr="001C55B3" w:rsidRDefault="003618EC" w:rsidP="003618EC">
      <w:pPr>
        <w:pStyle w:val="NormalWeb"/>
        <w:spacing w:before="0" w:beforeAutospacing="0" w:after="0" w:afterAutospacing="0"/>
        <w:rPr>
          <w:rFonts w:ascii="Arial" w:hAnsi="Arial" w:cs="Arial"/>
          <w:sz w:val="22"/>
          <w:szCs w:val="22"/>
        </w:rPr>
      </w:pPr>
      <w:r w:rsidRPr="001C55B3">
        <w:rPr>
          <w:rFonts w:ascii="Arial" w:hAnsi="Arial" w:cs="Arial"/>
          <w:b/>
          <w:bCs/>
          <w:i/>
          <w:iCs/>
          <w:sz w:val="22"/>
          <w:szCs w:val="22"/>
        </w:rPr>
        <w:t>Tissue harvest and processing</w:t>
      </w:r>
    </w:p>
    <w:p w14:paraId="684EADCC" w14:textId="77777777" w:rsidR="003618EC" w:rsidRPr="001C55B3" w:rsidRDefault="003618EC" w:rsidP="003618EC">
      <w:pPr>
        <w:pStyle w:val="NormalWeb"/>
        <w:spacing w:before="0" w:beforeAutospacing="0" w:after="240" w:afterAutospacing="0"/>
        <w:rPr>
          <w:rFonts w:ascii="Arial" w:hAnsi="Arial" w:cs="Arial"/>
          <w:sz w:val="22"/>
          <w:szCs w:val="22"/>
        </w:rPr>
      </w:pPr>
      <w:r w:rsidRPr="001C55B3">
        <w:rPr>
          <w:rFonts w:ascii="Arial" w:hAnsi="Arial" w:cs="Arial"/>
          <w:sz w:val="22"/>
          <w:szCs w:val="22"/>
        </w:rPr>
        <w:t>Animals were euthanized with isoflurane overdose. Brains were dissected fresh (SOP AF0061), embedded in OCT and snap-frozen in ethanol dry-ice bath. Extruded spinal cords were flash frozen straightened out on a razor blade</w:t>
      </w:r>
      <w:r>
        <w:rPr>
          <w:rFonts w:ascii="Arial" w:hAnsi="Arial" w:cs="Arial"/>
          <w:sz w:val="22"/>
          <w:szCs w:val="22"/>
        </w:rPr>
        <w:t xml:space="preserve"> secured in a conical tube</w:t>
      </w:r>
      <w:r w:rsidRPr="001C55B3">
        <w:rPr>
          <w:rFonts w:ascii="Arial" w:hAnsi="Arial" w:cs="Arial"/>
          <w:sz w:val="22"/>
          <w:szCs w:val="22"/>
        </w:rPr>
        <w:t>. Samples were stored at -80C until cryosectioning.</w:t>
      </w:r>
    </w:p>
    <w:p w14:paraId="2D6E5223" w14:textId="77777777" w:rsidR="003618EC" w:rsidRPr="001C55B3" w:rsidRDefault="003618EC" w:rsidP="003618EC">
      <w:pPr>
        <w:pStyle w:val="NormalWeb"/>
        <w:spacing w:before="0" w:beforeAutospacing="0" w:after="240" w:afterAutospacing="0"/>
        <w:rPr>
          <w:rFonts w:ascii="Arial" w:hAnsi="Arial" w:cs="Arial"/>
          <w:sz w:val="22"/>
          <w:szCs w:val="22"/>
        </w:rPr>
      </w:pPr>
      <w:r w:rsidRPr="001C55B3">
        <w:rPr>
          <w:rFonts w:ascii="Arial" w:hAnsi="Arial" w:cs="Arial"/>
          <w:sz w:val="22"/>
          <w:szCs w:val="22"/>
        </w:rPr>
        <w:t xml:space="preserve">The brains were cryosectioned on Leica 3050S cryostat from the anterior to posterior end in coronal plane (SOP PF0350).  We cut 300 um slices for regions outside LC ROI (MAPseq) and 20 um for tissue containing LC ROI (BARseq). To avoid cross-contamination, we used a fresh unused part of a blade to cut each slice and cleaned the brush and the holding platform with 100% ethanol between slices. </w:t>
      </w:r>
      <w:r>
        <w:rPr>
          <w:rFonts w:ascii="Arial" w:hAnsi="Arial" w:cs="Arial"/>
          <w:sz w:val="22"/>
          <w:szCs w:val="22"/>
        </w:rPr>
        <w:t>Cryostat chamber temperature was allowed to equilibrate for 30 mins to account for temperature changes between cutting thick and thin slices.</w:t>
      </w:r>
      <w:r w:rsidRPr="001C55B3">
        <w:rPr>
          <w:rFonts w:ascii="Arial" w:hAnsi="Arial" w:cs="Arial"/>
          <w:sz w:val="22"/>
          <w:szCs w:val="22"/>
        </w:rPr>
        <w:t xml:space="preserve"> </w:t>
      </w:r>
    </w:p>
    <w:p w14:paraId="7C51D92F" w14:textId="77777777" w:rsidR="003618EC" w:rsidRPr="001C55B3" w:rsidRDefault="003618EC" w:rsidP="003618EC">
      <w:pPr>
        <w:pStyle w:val="NormalWeb"/>
        <w:spacing w:before="0" w:beforeAutospacing="0" w:after="240" w:afterAutospacing="0"/>
        <w:rPr>
          <w:rFonts w:ascii="Arial" w:hAnsi="Arial" w:cs="Arial"/>
          <w:sz w:val="22"/>
          <w:szCs w:val="22"/>
        </w:rPr>
      </w:pPr>
      <w:r w:rsidRPr="001C55B3">
        <w:rPr>
          <w:rFonts w:ascii="Arial" w:hAnsi="Arial" w:cs="Arial"/>
          <w:sz w:val="22"/>
          <w:szCs w:val="22"/>
        </w:rPr>
        <w:t>For MAPseq experiment, 3 x 300 um coronal sections were mounted in a row onto Superfrost Plus Gold slides. For BARseq experiment, 4 x 20 um sections were mounted onto Superfrost Plus Gold slides according to microfluidic chamber template. Once all cut section were melted onto the slide, slides were rapidly frozen on dry ice and stored at -80 C in slide boxes in vacuum sealed bags until microdissection (MAPseq) or library prep (BARseq).</w:t>
      </w:r>
    </w:p>
    <w:p w14:paraId="6B05E36C" w14:textId="77777777" w:rsidR="003618EC" w:rsidRPr="001C55B3" w:rsidRDefault="003618EC" w:rsidP="003618EC">
      <w:pPr>
        <w:pStyle w:val="NormalWeb"/>
        <w:spacing w:before="0" w:beforeAutospacing="0" w:after="0" w:afterAutospacing="0"/>
        <w:rPr>
          <w:rFonts w:ascii="Arial" w:hAnsi="Arial" w:cs="Arial"/>
          <w:sz w:val="22"/>
          <w:szCs w:val="22"/>
        </w:rPr>
      </w:pPr>
      <w:r w:rsidRPr="001C55B3">
        <w:rPr>
          <w:rFonts w:ascii="Arial" w:hAnsi="Arial" w:cs="Arial"/>
          <w:b/>
          <w:bCs/>
          <w:i/>
          <w:iCs/>
          <w:sz w:val="22"/>
          <w:szCs w:val="22"/>
        </w:rPr>
        <w:t>MAPseq ROI microdissection</w:t>
      </w:r>
    </w:p>
    <w:p w14:paraId="5BF2901B" w14:textId="77777777" w:rsidR="003618EC" w:rsidRPr="001C55B3" w:rsidRDefault="003618EC" w:rsidP="003618EC">
      <w:pPr>
        <w:pStyle w:val="NormalWeb"/>
        <w:spacing w:before="0" w:beforeAutospacing="0" w:after="240" w:afterAutospacing="0"/>
        <w:rPr>
          <w:rFonts w:ascii="Arial" w:hAnsi="Arial" w:cs="Arial"/>
          <w:sz w:val="22"/>
          <w:szCs w:val="22"/>
        </w:rPr>
      </w:pPr>
      <w:r w:rsidRPr="001C55B3">
        <w:rPr>
          <w:rFonts w:ascii="Arial" w:hAnsi="Arial" w:cs="Arial"/>
          <w:sz w:val="22"/>
          <w:szCs w:val="22"/>
        </w:rPr>
        <w:t>Regions of interest were hand-dissected from each brain slice under dissection scope by microscalpels pre-chilled on ice (Fine Science Tools #10316-14). Glass slides were kept on dry ice and placed on a pre-chilled metal platform mounted above dry ice – ethanol bath one at a time. Reference image was captured for each of the 3 sections from the same slide, after which microdissection began. Sections were first bisected down the midline</w:t>
      </w:r>
      <w:r>
        <w:rPr>
          <w:rFonts w:ascii="Arial" w:hAnsi="Arial" w:cs="Arial"/>
          <w:sz w:val="22"/>
          <w:szCs w:val="22"/>
        </w:rPr>
        <w:t>. Then</w:t>
      </w:r>
      <w:r w:rsidRPr="001C55B3">
        <w:rPr>
          <w:rFonts w:ascii="Arial" w:hAnsi="Arial" w:cs="Arial"/>
          <w:sz w:val="22"/>
          <w:szCs w:val="22"/>
        </w:rPr>
        <w:t xml:space="preserve"> major anatomical regions were cut along their respective boundaries. Each cut was performed with a cleaned blade. Blades were rinsed in consecutive 4 x 50 ml conical tubes containing ethanol stored on </w:t>
      </w:r>
      <w:r w:rsidRPr="001C55B3">
        <w:rPr>
          <w:rFonts w:ascii="Arial" w:hAnsi="Arial" w:cs="Arial"/>
          <w:sz w:val="22"/>
          <w:szCs w:val="22"/>
        </w:rPr>
        <w:lastRenderedPageBreak/>
        <w:t>ice. To keep blade temperature consistently low, 3-4 scalpels were rotated and stored on the metal platform. After right hemisphere dissection was completed, reference image for dissection boundaries was taken again for each of the 3 sections. After that, left side was dissected along the same boundaries. Individual tissue pieces were then collected into pre-chilled Qiagen microtubes (#19560 tubes, # 19566 caps) on dry ice, capped and stored at -80C. Samples for left and right hemisphere were kept separate, and corresponding ROIs were combined across 3 consecutive 300 um sections mounted on the same slide. To assess cross-sample contamination, we collected as negative controls tissue from uninjected brains.</w:t>
      </w:r>
    </w:p>
    <w:p w14:paraId="038F4EFA" w14:textId="77777777" w:rsidR="003618EC" w:rsidRPr="001C55B3" w:rsidRDefault="003618EC" w:rsidP="003618EC">
      <w:pPr>
        <w:pStyle w:val="NormalWeb"/>
        <w:spacing w:before="0" w:beforeAutospacing="0" w:after="240" w:afterAutospacing="0"/>
        <w:rPr>
          <w:rFonts w:ascii="Arial" w:hAnsi="Arial" w:cs="Arial"/>
          <w:sz w:val="22"/>
          <w:szCs w:val="22"/>
        </w:rPr>
      </w:pPr>
      <w:r w:rsidRPr="001C55B3">
        <w:rPr>
          <w:rFonts w:ascii="Arial" w:hAnsi="Arial" w:cs="Arial"/>
          <w:sz w:val="22"/>
          <w:szCs w:val="22"/>
        </w:rPr>
        <w:t>After all ROIs were collected, with samples kept on dry ice we added</w:t>
      </w:r>
      <w:r>
        <w:rPr>
          <w:rFonts w:ascii="Arial" w:hAnsi="Arial" w:cs="Arial"/>
          <w:sz w:val="22"/>
          <w:szCs w:val="22"/>
        </w:rPr>
        <w:t xml:space="preserve"> </w:t>
      </w:r>
      <w:r w:rsidRPr="001C55B3">
        <w:rPr>
          <w:rFonts w:ascii="Arial" w:hAnsi="Arial" w:cs="Arial"/>
          <w:sz w:val="22"/>
          <w:szCs w:val="22"/>
        </w:rPr>
        <w:t>pre-chilled Quagen bead (#69989)</w:t>
      </w:r>
      <w:r>
        <w:rPr>
          <w:rFonts w:ascii="Arial" w:hAnsi="Arial" w:cs="Arial"/>
          <w:sz w:val="22"/>
          <w:szCs w:val="22"/>
        </w:rPr>
        <w:t xml:space="preserve"> to each tube. Then, spinal cord samples </w:t>
      </w:r>
      <w:r w:rsidRPr="001C55B3">
        <w:rPr>
          <w:rFonts w:ascii="Arial" w:hAnsi="Arial" w:cs="Arial"/>
          <w:sz w:val="22"/>
          <w:szCs w:val="22"/>
        </w:rPr>
        <w:t>received</w:t>
      </w:r>
      <w:r>
        <w:rPr>
          <w:rFonts w:ascii="Arial" w:hAnsi="Arial" w:cs="Arial"/>
          <w:sz w:val="22"/>
          <w:szCs w:val="22"/>
        </w:rPr>
        <w:t xml:space="preserve"> 800 ul Trizol, while the rest got </w:t>
      </w:r>
      <w:r w:rsidRPr="001C55B3">
        <w:rPr>
          <w:rFonts w:ascii="Arial" w:hAnsi="Arial" w:cs="Arial"/>
          <w:sz w:val="22"/>
          <w:szCs w:val="22"/>
        </w:rPr>
        <w:t xml:space="preserve">400 ul Trizol (Thermofisher #15596026). Then samples were shipped overnight on dry ice to CSHL MAPseq facility. </w:t>
      </w:r>
    </w:p>
    <w:p w14:paraId="2BD58744" w14:textId="77777777" w:rsidR="003618EC" w:rsidRPr="001C55B3" w:rsidRDefault="003618EC" w:rsidP="003618EC">
      <w:pPr>
        <w:pStyle w:val="NormalWeb"/>
        <w:spacing w:before="0" w:beforeAutospacing="0" w:after="0" w:afterAutospacing="0"/>
        <w:rPr>
          <w:rFonts w:ascii="Arial" w:hAnsi="Arial" w:cs="Arial"/>
          <w:b/>
          <w:bCs/>
          <w:i/>
          <w:iCs/>
          <w:sz w:val="22"/>
          <w:szCs w:val="22"/>
        </w:rPr>
      </w:pPr>
      <w:r w:rsidRPr="00477E92">
        <w:rPr>
          <w:rFonts w:ascii="Arial" w:hAnsi="Arial" w:cs="Arial"/>
          <w:b/>
          <w:bCs/>
          <w:i/>
          <w:iCs/>
          <w:sz w:val="22"/>
          <w:szCs w:val="22"/>
        </w:rPr>
        <w:t>Sequencing library preparation for MAPseq</w:t>
      </w:r>
    </w:p>
    <w:p w14:paraId="39B30941" w14:textId="77777777" w:rsidR="003618EC" w:rsidRPr="001C55B3" w:rsidRDefault="003618EC" w:rsidP="003618EC">
      <w:pPr>
        <w:pStyle w:val="NormalWeb"/>
        <w:spacing w:before="0" w:beforeAutospacing="0" w:after="240"/>
        <w:rPr>
          <w:rFonts w:ascii="Arial" w:hAnsi="Arial" w:cs="Arial"/>
          <w:sz w:val="22"/>
          <w:szCs w:val="22"/>
        </w:rPr>
      </w:pPr>
      <w:r w:rsidRPr="001C55B3">
        <w:rPr>
          <w:rFonts w:ascii="Arial" w:hAnsi="Arial" w:cs="Arial"/>
          <w:sz w:val="22"/>
          <w:szCs w:val="22"/>
        </w:rPr>
        <w:t xml:space="preserve">RNA extraction and sequencing library preparation were performed following the protocol </w:t>
      </w:r>
      <w:r w:rsidRPr="00D74DDE">
        <w:rPr>
          <w:rFonts w:ascii="Arial" w:hAnsi="Arial" w:cs="Arial"/>
          <w:sz w:val="22"/>
          <w:szCs w:val="22"/>
        </w:rPr>
        <w:t>(</w:t>
      </w:r>
      <w:hyperlink r:id="rId4" w:tgtFrame="_blank" w:history="1">
        <w:r w:rsidRPr="00D74DDE">
          <w:rPr>
            <w:rStyle w:val="Hyperlink"/>
            <w:rFonts w:ascii="Arial" w:eastAsiaTheme="majorEastAsia" w:hAnsi="Arial" w:cs="Arial"/>
            <w:color w:val="000000"/>
            <w:sz w:val="22"/>
            <w:szCs w:val="22"/>
            <w:shd w:val="clear" w:color="auto" w:fill="FFFFFF"/>
          </w:rPr>
          <w:t>dx.doi.org/10.17504/protocols.io.bsm9nc96</w:t>
        </w:r>
      </w:hyperlink>
      <w:r w:rsidRPr="00D74DDE">
        <w:rPr>
          <w:rFonts w:ascii="Arial" w:hAnsi="Arial" w:cs="Arial"/>
          <w:sz w:val="22"/>
          <w:szCs w:val="22"/>
        </w:rPr>
        <w:t>),</w:t>
      </w:r>
      <w:r w:rsidRPr="001C55B3">
        <w:rPr>
          <w:rFonts w:ascii="Arial" w:hAnsi="Arial" w:cs="Arial"/>
          <w:sz w:val="22"/>
          <w:szCs w:val="22"/>
        </w:rPr>
        <w:t xml:space="preserve"> as described previously</w:t>
      </w:r>
      <w:r>
        <w:rPr>
          <w:rFonts w:ascii="Arial" w:hAnsi="Arial" w:cs="Arial"/>
          <w:sz w:val="22"/>
          <w:szCs w:val="22"/>
        </w:rPr>
        <w:t xml:space="preserve"> </w:t>
      </w:r>
      <w:r>
        <w:rPr>
          <w:rFonts w:ascii="Arial" w:hAnsi="Arial" w:cs="Arial"/>
          <w:sz w:val="22"/>
          <w:szCs w:val="22"/>
        </w:rPr>
        <w:fldChar w:fldCharType="begin"/>
      </w:r>
      <w:r>
        <w:rPr>
          <w:rFonts w:ascii="Arial" w:hAnsi="Arial" w:cs="Arial"/>
          <w:sz w:val="22"/>
          <w:szCs w:val="22"/>
        </w:rPr>
        <w:instrText xml:space="preserve"> ADDIN ZOTERO_ITEM CSL_CITATION {"citationID":"85ldH5fe","properties":{"formattedCitation":"(Chen et al. 2019; Han et al. 2018; Huang et al. 2020; Kebschull et al. 2016)","plainCitation":"(Chen et al. 2019; Han et al. 2018; Huang et al. 2020; Kebschull et al. 2016)","noteIndex":0},"citationItems":[{"id":345,"uris":["http://zotero.org/users/11895209/items/JP79LDGU"],"itemData":{"id":345,"type":"article-journal","abstract":"Understanding neural circuits requires deciphering interactions among myriad cell types defined by spatial organization, connectivity, gene expression, and other properties. Resolving these cell types requires both single-neuron resolution and high throughput, a challenging combination with conventional methods. Here, we introduce barcoded anatomy resolved by sequencing (BARseq), a multiplexed method based on RNA barcoding for mapping projections of thousands of spatially resolved neurons in a single brain and relating those projections to other properties such as gene or Cre expression. Mapping the projections to 11 areas of 3,579 neurons in mouse auditory cortex using BARseq confirmed the laminar organization of the three top classes (intratelencephalic [IT], pyramidal tract-like [PT-like], and corticothalamic [CT]) of projection neurons. In depth analysis uncovered a projection type restricted almost exclusively to transcriptionally defined subtypes of IT neurons. By bridging anatomical and transcriptomic approaches at cellular resolution with high throughput, BARseq can potentially uncover the organizing principles underlying the structure and formation of neural circuits.","container-title":"Cell","DOI":"10.1016/j.cell.2019.09.023","ISSN":"0092-8674","issue":"3","journalAbbreviation":"Cell","page":"772-786.e19","source":"ScienceDirect","title":"High-Throughput Mapping of Long-Range Neuronal Projection Using &lt;i&gt;In Situ&lt;/i&gt; Sequencing","volume":"179","author":[{"family":"Chen","given":"Xiaoyin"},{"family":"Sun","given":"Yu-Chi"},{"family":"Zhan","given":"Huiqing"},{"family":"Kebschull","given":"Justus M."},{"family":"Fischer","given":"Stephan"},{"family":"Matho","given":"Katherine"},{"family":"Huang","given":"Z. Josh"},{"family":"Gillis","given":"Jesse"},{"family":"Zador","given":"Anthony M."}],"issued":{"date-parts":[["2019",10,17]]}}},{"id":350,"uris":["http://zotero.org/users/11895209/items/66Z3TE4D"],"itemData":{"id":350,"type":"article-journal","abstract":"Neocortical areas communicate via extensive axonal projections, but the logic of information transfer is unresolved because the projections of individual neurons have not been systematically characterized. It is unknown whether individual neurons send projections only to single cortical areas, or instead distribute signals across multiple targets. Here we determined the projection patterns of 591 individual neurons in mouse primary visual cortex (V1) using whole-brain fluorescence-based axonal tracing and high-throughput DNA sequencing of genetically barcoded neurons (MAPseq). Projections were highly diverse and divergent, collectively targeting at least 18 cortical and subcortical areas. Most neurons target multiple cortical areas, often in non-random combinations, suggesting the existence of sub-classes of intracortical projection neurons. Thus the dominant mode of intracortical information transfer is not based on “one neuron – one target area” mapping. Instead, signals carried by individual cortical neurons are shared across subsets of target areas, and thus concurrently contribute to multiple functional pathways.","container-title":"Nature","DOI":"10.1038/nature26159","ISSN":"0028-0836","issue":"7699","journalAbbreviation":"Nature","note":"PMID: 29590093\nPMCID: PMC6585423","page":"51-56","source":"PubMed Central","title":"The logic of single-cell projections from visual cortex","volume":"556","author":[{"family":"Han","given":"Yunyun"},{"family":"Kebschull","given":"Justus M"},{"family":"Campbell","given":"Robert AA"},{"family":"Cowan","given":"Devon"},{"family":"Imhof","given":"Fabia"},{"family":"Zador","given":"Anthony M"},{"family":"Mrsic-Flogel","given":"Thomas D"}],"issued":{"date-parts":[["2018",4,5]]}}},{"id":740,"uris":["http://zotero.org/users/11895209/items/EPIKP42R"],"itemData":{"id":740,"type":"article-journal","container-title":"Cell","DOI":"10.1016/j.cell.2020.05.029","ISSN":"00928674","issue":"1","journalAbbreviation":"Cell","language":"en","page":"177-188.e27","source":"DOI.org (Crossref)","title":"BRICseq Bridges Brain-wide Interregional Connectivity to Neural Activity and Gene Expression in Single Animals","volume":"182","author":[{"family":"Huang","given":"Longwen"},{"family":"Kebschull","given":"Justus M."},{"family":"Fürth","given":"Daniel"},{"family":"Musall","given":"Simon"},{"family":"Kaufman","given":"Matthew T."},{"family":"Churchland","given":"Anne K."},{"family":"Zador","given":"Anthony M."}],"issued":{"date-parts":[["2020",7]]}}},{"id":342,"uris":["http://zotero.org/users/11895209/items/T93UDXUS"],"itemData":{"id":342,"type":"article-journal","abstract":"Neurons transmit information to distant brain regions via long-range axonal projections. In the mouse, area-to-area connections have only been systematically mapped using bulk labeling techniques, which obscure the diverse projections of intermingled single neurons. Here we describe MAPseq (Multiplexed Analysis of Projections by Sequencing), a technique that can map the projections of thousands or even millions of single neurons by labeling large sets of neurons with random RNA sequences (“barcodes”). Axons are filled with barcode mRNA, each putative projection area is dissected, and the barcode mRNA is extracted and sequenced. Applying MAPseq to the locus coeruleus (LC), we find that individual LC neurons have preferred cortical targets. By recasting neuroanatomy, which is traditionally viewed as a problem of microscopy, as a problem of sequencing, MAPseq harnesses advances in sequencing technology to permit high-throughput interrogation of brain circuits.","container-title":"Neuron","DOI":"10.1016/j.neuron.2016.07.036","ISSN":"0896-6273","issue":"5","journalAbbreviation":"Neuron","page":"975-987","source":"ScienceDirect","title":"High-Throughput Mapping of Single-Neuron Projections by Sequencing of Barcoded RNA","volume":"91","author":[{"family":"Kebschull","given":"Justus M."},{"family":"Garcia da Silva","given":"Pedro"},{"family":"Reid","given":"Ashlan P."},{"family":"Peikon","given":"Ian D."},{"family":"Albeanu","given":"Dinu F."},{"family":"Zador","given":"Anthony M."}],"issued":{"date-parts":[["2016",9,7]]}}}],"schema":"https://github.com/citation-style-language/schema/raw/master/csl-citation.json"} </w:instrText>
      </w:r>
      <w:r>
        <w:rPr>
          <w:rFonts w:ascii="Arial" w:hAnsi="Arial" w:cs="Arial"/>
          <w:sz w:val="22"/>
          <w:szCs w:val="22"/>
        </w:rPr>
        <w:fldChar w:fldCharType="separate"/>
      </w:r>
      <w:r>
        <w:rPr>
          <w:rFonts w:ascii="Arial" w:hAnsi="Arial" w:cs="Arial"/>
          <w:noProof/>
          <w:sz w:val="22"/>
          <w:szCs w:val="22"/>
        </w:rPr>
        <w:t>(Chen et al. 2019; Han et al. 2018; Huang et al. 2020; Kebschull et al. 2016)</w:t>
      </w:r>
      <w:r>
        <w:rPr>
          <w:rFonts w:ascii="Arial" w:hAnsi="Arial" w:cs="Arial"/>
          <w:sz w:val="22"/>
          <w:szCs w:val="22"/>
        </w:rPr>
        <w:fldChar w:fldCharType="end"/>
      </w:r>
      <w:r w:rsidRPr="001C55B3">
        <w:rPr>
          <w:rFonts w:ascii="Arial" w:hAnsi="Arial" w:cs="Arial"/>
          <w:sz w:val="22"/>
          <w:szCs w:val="22"/>
        </w:rPr>
        <w:t>. Briefly, total RNA for each region was extracted using Trizol (Thermo Fisher Scientific, 15596018) and eluted in 13ul of H2O. Before library preparation, a few randomly selected samples were run on Bioanalyzer (Agilent, 5067-1513) to ensure good RNA quality. To prepare the library for sequencing, we mixed 4 ul total RNA of each sample with 1 ul spike-in RNA (GTC ATG ATC ATA ATA CGA CTC ACT ATA GGG GAC GAG CTG TAC AAG TAA ACG CGT AAT GAT ACG GCG ACC ACC GAG ATC TAC ACT CTT TCC CTA CAC GAC GCT CTT CCG ATC TNN NNN NNN NNN NNN NNN NNN NNN NAT CAG TCA TCG GAG CGG CCG CTA CCT AAT TGC CGT CGT GAG GTA CGA CCA CCG CTA GCT GTA CA, where ATCAGTCA is the barcode tag of the spike-in. Spike-in RNA was transcribed in vitro by T7 RNA polymerase and diluted into1x10</w:t>
      </w:r>
      <w:r w:rsidRPr="001C55B3">
        <w:rPr>
          <w:rFonts w:ascii="Arial" w:hAnsi="Arial" w:cs="Arial"/>
          <w:sz w:val="22"/>
          <w:szCs w:val="22"/>
          <w:vertAlign w:val="superscript"/>
        </w:rPr>
        <w:t>4</w:t>
      </w:r>
      <w:r w:rsidRPr="001C55B3">
        <w:rPr>
          <w:rFonts w:ascii="Arial" w:hAnsi="Arial" w:cs="Arial"/>
          <w:sz w:val="22"/>
          <w:szCs w:val="22"/>
        </w:rPr>
        <w:t xml:space="preserve"> molecules/ul), and reverse-transcribed the barcode mRNA into the first-strand cDNA using gene-specific barcoded reverse transcription primers and SuperScript IV (Thermo Fisher Scientific, 18090010). The barcoded reverse transcription primer has sequence 5’-CTT GGC ACC CGA GAA TTC CAX XXX XXX XXX XXZ ZZZ ZZZ ZTG TAC AGC TAG CGG TGG TCG-3’, where X12 are the barcoded unique molecular identifiers (UMI) and Z8 are barcoded sample specific identifiers (SSI). The synthesized first strand cDNA of each sample was labeled with a 12-nt UMI (unique for each RNA molecule) and 8-nt SSI (unique for each sample). After synthesis of the first strand cDNA, every 7-8 samples of target brain regions were pooled together for clean-up by 1.8 x AMPure XP beads (Beckman Coulter, A63881) and synthesis of the second strand cDNA (Thermo Fisher, A48571). The double-stranded cDNA samples were cleaned up by 1.8 x AMPure XP beads and treated with Exonuclease I (New England Biolabs, M0293S) to remove the single-stranded reverse transcription primers before PCR amplification.</w:t>
      </w:r>
    </w:p>
    <w:p w14:paraId="2476DC61" w14:textId="77777777" w:rsidR="003618EC" w:rsidRPr="001C55B3" w:rsidRDefault="003618EC" w:rsidP="003618EC">
      <w:pPr>
        <w:pStyle w:val="NormalWeb"/>
        <w:spacing w:after="240"/>
        <w:rPr>
          <w:rFonts w:ascii="Arial" w:hAnsi="Arial" w:cs="Arial"/>
          <w:sz w:val="22"/>
          <w:szCs w:val="22"/>
        </w:rPr>
      </w:pPr>
      <w:r w:rsidRPr="001C55B3">
        <w:rPr>
          <w:rFonts w:ascii="Arial" w:hAnsi="Arial" w:cs="Arial"/>
          <w:sz w:val="22"/>
          <w:szCs w:val="22"/>
        </w:rPr>
        <w:t xml:space="preserve">The double-stranded cDNA samples were amplified by two rounds of PCR reactions using standard Accuprime Pfx protocol (Thermo Fisher Scientific, 12344032) with 2 min extension for each cycle. Primers 5’-CTG TAC AAG TAA ACG CGT AAT G-3’ and 5’-CAAG CAGAAGACGGCATACGAGATCGTGATGTGACTGGAGTTCCTTGGCACCCGAGAATTCCA-3’ were used for the first PCR reaction, and primers 5’ -AATGATACGGCGACCACCGA-3’ and 5’ -CAAGCAGAAGACGGCATACGA-3’ were used for the second PCR reaction. In the first PCR reaction, the pooled cDNA samples were amplified for 15 cycles in 250 ul of reaction volume per 7-8 samples. After treatment with Exonuclease I (New England Biolabs, M0293S) to remove excess primers, all the PCR1 products of the target areas were pooled together. A quarter of the pooled PCR1 products of target areas were amplified by 10 cycles in 12 ml of PCR II reaction volume. The PCR2 products were cleaned up and concentrated by SV wizard PCR cleanup kit </w:t>
      </w:r>
      <w:r w:rsidRPr="001C55B3">
        <w:rPr>
          <w:rFonts w:ascii="Arial" w:hAnsi="Arial" w:cs="Arial"/>
          <w:sz w:val="22"/>
          <w:szCs w:val="22"/>
        </w:rPr>
        <w:lastRenderedPageBreak/>
        <w:t xml:space="preserve">(Promega, A9282), and loaded into a 2% agarose gel for electrophoresis. The 233 bp PCR product was cut from the agarose gel, cleaned up by Qiagen MinElute Gel Extraction Kit (Qiagen 28606) and quantified by Bioanalyzer (Agilent, 5067-4626) and qPCR.  </w:t>
      </w:r>
    </w:p>
    <w:p w14:paraId="7EF13FF0" w14:textId="77777777" w:rsidR="003618EC" w:rsidRPr="001C55B3" w:rsidRDefault="003618EC" w:rsidP="003618EC">
      <w:pPr>
        <w:pStyle w:val="NormalWeb"/>
        <w:spacing w:before="0" w:beforeAutospacing="0" w:after="0" w:afterAutospacing="0"/>
        <w:rPr>
          <w:rFonts w:ascii="Arial" w:hAnsi="Arial" w:cs="Arial"/>
          <w:sz w:val="22"/>
          <w:szCs w:val="22"/>
        </w:rPr>
      </w:pPr>
      <w:r w:rsidRPr="007E70AA">
        <w:rPr>
          <w:rFonts w:ascii="Arial" w:hAnsi="Arial" w:cs="Arial"/>
          <w:b/>
          <w:bCs/>
          <w:i/>
          <w:iCs/>
          <w:sz w:val="22"/>
          <w:szCs w:val="22"/>
        </w:rPr>
        <w:t>Sequencing of the MAPseq samples</w:t>
      </w:r>
    </w:p>
    <w:p w14:paraId="082EDE11" w14:textId="77777777" w:rsidR="003618EC" w:rsidRPr="001C55B3" w:rsidRDefault="003618EC" w:rsidP="003618EC">
      <w:pPr>
        <w:pStyle w:val="NormalWeb"/>
        <w:spacing w:before="0" w:beforeAutospacing="0" w:after="240" w:afterAutospacing="0"/>
        <w:rPr>
          <w:rFonts w:ascii="Arial" w:hAnsi="Arial" w:cs="Arial"/>
          <w:sz w:val="22"/>
          <w:szCs w:val="22"/>
        </w:rPr>
      </w:pPr>
      <w:r w:rsidRPr="001C55B3">
        <w:rPr>
          <w:rFonts w:ascii="Arial" w:hAnsi="Arial" w:cs="Arial"/>
          <w:sz w:val="22"/>
          <w:szCs w:val="22"/>
        </w:rPr>
        <w:t>The pooled library was sequenced on two lanes of Illumina Nextseq550 high output at paired end 36 with Illumina compatible Read 1 Sequencing Primer and Illumina compatible small RNA read 2 primer as described previously</w:t>
      </w:r>
      <w:r>
        <w:rPr>
          <w:rFonts w:ascii="Arial" w:hAnsi="Arial" w:cs="Arial"/>
          <w:sz w:val="22"/>
          <w:szCs w:val="22"/>
        </w:rPr>
        <w:t xml:space="preserve"> </w:t>
      </w:r>
      <w:r>
        <w:rPr>
          <w:rFonts w:ascii="Arial" w:hAnsi="Arial" w:cs="Arial"/>
          <w:sz w:val="22"/>
          <w:szCs w:val="22"/>
        </w:rPr>
        <w:fldChar w:fldCharType="begin"/>
      </w:r>
      <w:r>
        <w:rPr>
          <w:rFonts w:ascii="Arial" w:hAnsi="Arial" w:cs="Arial"/>
          <w:sz w:val="22"/>
          <w:szCs w:val="22"/>
        </w:rPr>
        <w:instrText xml:space="preserve"> ADDIN ZOTERO_ITEM CSL_CITATION {"citationID":"eQaOQ7ZQ","properties":{"formattedCitation":"(Kebschull et al. 2016)","plainCitation":"(Kebschull et al. 2016)","noteIndex":0},"citationItems":[{"id":342,"uris":["http://zotero.org/users/11895209/items/T93UDXUS"],"itemData":{"id":342,"type":"article-journal","abstract":"Neurons transmit information to distant brain regions via long-range axonal projections. In the mouse, area-to-area connections have only been systematically mapped using bulk labeling techniques, which obscure the diverse projections of intermingled single neurons. Here we describe MAPseq (Multiplexed Analysis of Projections by Sequencing), a technique that can map the projections of thousands or even millions of single neurons by labeling large sets of neurons with random RNA sequences (“barcodes”). Axons are filled with barcode mRNA, each putative projection area is dissected, and the barcode mRNA is extracted and sequenced. Applying MAPseq to the locus coeruleus (LC), we find that individual LC neurons have preferred cortical targets. By recasting neuroanatomy, which is traditionally viewed as a problem of microscopy, as a problem of sequencing, MAPseq harnesses advances in sequencing technology to permit high-throughput interrogation of brain circuits.","container-title":"Neuron","DOI":"10.1016/j.neuron.2016.07.036","ISSN":"0896-6273","issue":"5","journalAbbreviation":"Neuron","page":"975-987","source":"ScienceDirect","title":"High-Throughput Mapping of Single-Neuron Projections by Sequencing of Barcoded RNA","volume":"91","author":[{"family":"Kebschull","given":"Justus M."},{"family":"Garcia da Silva","given":"Pedro"},{"family":"Reid","given":"Ashlan P."},{"family":"Peikon","given":"Ian D."},{"family":"Albeanu","given":"Dinu F."},{"family":"Zador","given":"Anthony M."}],"issued":{"date-parts":[["2016",9,7]]}}}],"schema":"https://github.com/citation-style-language/schema/raw/master/csl-citation.json"} </w:instrText>
      </w:r>
      <w:r>
        <w:rPr>
          <w:rFonts w:ascii="Arial" w:hAnsi="Arial" w:cs="Arial"/>
          <w:sz w:val="22"/>
          <w:szCs w:val="22"/>
        </w:rPr>
        <w:fldChar w:fldCharType="separate"/>
      </w:r>
      <w:r>
        <w:rPr>
          <w:rFonts w:ascii="Arial" w:hAnsi="Arial" w:cs="Arial"/>
          <w:noProof/>
          <w:sz w:val="22"/>
          <w:szCs w:val="22"/>
        </w:rPr>
        <w:t>(Kebschull et al. 2016)</w:t>
      </w:r>
      <w:r>
        <w:rPr>
          <w:rFonts w:ascii="Arial" w:hAnsi="Arial" w:cs="Arial"/>
          <w:sz w:val="22"/>
          <w:szCs w:val="22"/>
        </w:rPr>
        <w:fldChar w:fldCharType="end"/>
      </w:r>
      <w:r w:rsidRPr="001C55B3">
        <w:rPr>
          <w:rFonts w:ascii="Arial" w:hAnsi="Arial" w:cs="Arial"/>
          <w:sz w:val="22"/>
          <w:szCs w:val="22"/>
        </w:rPr>
        <w:t xml:space="preserve">. </w:t>
      </w:r>
    </w:p>
    <w:p w14:paraId="0909D9AB" w14:textId="77777777" w:rsidR="003618EC" w:rsidRPr="001C55B3" w:rsidRDefault="003618EC" w:rsidP="003618EC">
      <w:pPr>
        <w:pStyle w:val="NormalWeb"/>
        <w:spacing w:after="0" w:afterAutospacing="0"/>
        <w:rPr>
          <w:rFonts w:ascii="Arial" w:hAnsi="Arial" w:cs="Arial"/>
          <w:b/>
          <w:bCs/>
          <w:i/>
          <w:iCs/>
          <w:sz w:val="22"/>
          <w:szCs w:val="22"/>
        </w:rPr>
      </w:pPr>
      <w:r w:rsidRPr="007E70AA">
        <w:rPr>
          <w:rFonts w:ascii="Arial" w:hAnsi="Arial" w:cs="Arial"/>
          <w:b/>
          <w:bCs/>
          <w:i/>
          <w:iCs/>
          <w:sz w:val="22"/>
          <w:szCs w:val="22"/>
        </w:rPr>
        <w:t>MAPseq data processing</w:t>
      </w:r>
    </w:p>
    <w:p w14:paraId="59F01E08" w14:textId="77777777" w:rsidR="003618EC" w:rsidRDefault="003618EC" w:rsidP="003618EC">
      <w:pPr>
        <w:pStyle w:val="NormalWeb"/>
        <w:spacing w:before="0" w:beforeAutospacing="0" w:after="240" w:afterAutospacing="0"/>
        <w:rPr>
          <w:color w:val="000000"/>
        </w:rPr>
      </w:pPr>
      <w:r>
        <w:rPr>
          <w:rFonts w:ascii="Arial" w:hAnsi="Arial" w:cs="Arial"/>
          <w:color w:val="000000"/>
          <w:sz w:val="22"/>
          <w:szCs w:val="22"/>
        </w:rPr>
        <w:t xml:space="preserve">The raw MAPseq data consists of FASTQ files, where paired end 1 covers the 30 nt barcode sequence and paired end 2 covers 12 nt UMI and the 8 nt SSI </w:t>
      </w:r>
      <w:r>
        <w:rPr>
          <w:rFonts w:ascii="Arial" w:hAnsi="Arial" w:cs="Arial"/>
          <w:color w:val="000000"/>
          <w:sz w:val="22"/>
          <w:szCs w:val="22"/>
        </w:rPr>
        <w:fldChar w:fldCharType="begin"/>
      </w:r>
      <w:r>
        <w:rPr>
          <w:rFonts w:ascii="Arial" w:hAnsi="Arial" w:cs="Arial"/>
          <w:color w:val="000000"/>
          <w:sz w:val="22"/>
          <w:szCs w:val="22"/>
        </w:rPr>
        <w:instrText xml:space="preserve"> ADDIN ZOTERO_ITEM CSL_CITATION {"citationID":"AjeGQN8x","properties":{"formattedCitation":"(Huang et al. 2020; Kebschull et al. 2016)","plainCitation":"(Huang et al. 2020; Kebschull et al. 2016)","noteIndex":0},"citationItems":[{"id":740,"uris":["http://zotero.org/users/11895209/items/EPIKP42R"],"itemData":{"id":740,"type":"article-journal","container-title":"Cell","DOI":"10.1016/j.cell.2020.05.029","ISSN":"00928674","issue":"1","journalAbbreviation":"Cell","language":"en","page":"177-188.e27","source":"DOI.org (Crossref)","title":"BRICseq Bridges Brain-wide Interregional Connectivity to Neural Activity and Gene Expression in Single Animals","volume":"182","author":[{"family":"Huang","given":"Longwen"},{"family":"Kebschull","given":"Justus M."},{"family":"Fürth","given":"Daniel"},{"family":"Musall","given":"Simon"},{"family":"Kaufman","given":"Matthew T."},{"family":"Churchland","given":"Anne K."},{"family":"Zador","given":"Anthony M."}],"issued":{"date-parts":[["2020",7]]}}},{"id":342,"uris":["http://zotero.org/users/11895209/items/T93UDXUS"],"itemData":{"id":342,"type":"article-journal","abstract":"Neurons transmit information to distant brain regions via long-range axonal projections. In the mouse, area-to-area connections have only been systematically mapped using bulk labeling techniques, which obscure the diverse projections of intermingled single neurons. Here we describe MAPseq (Multiplexed Analysis of Projections by Sequencing), a technique that can map the projections of thousands or even millions of single neurons by labeling large sets of neurons with random RNA sequences (“barcodes”). Axons are filled with barcode mRNA, each putative projection area is dissected, and the barcode mRNA is extracted and sequenced. Applying MAPseq to the locus coeruleus (LC), we find that individual LC neurons have preferred cortical targets. By recasting neuroanatomy, which is traditionally viewed as a problem of microscopy, as a problem of sequencing, MAPseq harnesses advances in sequencing technology to permit high-throughput interrogation of brain circuits.","container-title":"Neuron","DOI":"10.1016/j.neuron.2016.07.036","ISSN":"0896-6273","issue":"5","journalAbbreviation":"Neuron","page":"975-987","source":"ScienceDirect","title":"High-Throughput Mapping of Single-Neuron Projections by Sequencing of Barcoded RNA","volume":"91","author":[{"family":"Kebschull","given":"Justus M."},{"family":"Garcia da Silva","given":"Pedro"},{"family":"Reid","given":"Ashlan P."},{"family":"Peikon","given":"Ian D."},{"family":"Albeanu","given":"Dinu F."},{"family":"Zador","given":"Anthony M."}],"issued":{"date-parts":[["2016",9,7]]}}}],"schema":"https://github.com/citation-style-language/schema/raw/master/csl-citation.json"} </w:instrText>
      </w:r>
      <w:r>
        <w:rPr>
          <w:rFonts w:ascii="Arial" w:hAnsi="Arial" w:cs="Arial"/>
          <w:color w:val="000000"/>
          <w:sz w:val="22"/>
          <w:szCs w:val="22"/>
        </w:rPr>
        <w:fldChar w:fldCharType="separate"/>
      </w:r>
      <w:r>
        <w:rPr>
          <w:rFonts w:ascii="Arial" w:hAnsi="Arial" w:cs="Arial"/>
          <w:noProof/>
          <w:color w:val="000000"/>
          <w:sz w:val="22"/>
          <w:szCs w:val="22"/>
        </w:rPr>
        <w:t>(Huang et al. 2020; Kebschull et al. 2016)</w:t>
      </w:r>
      <w:r>
        <w:rPr>
          <w:rFonts w:ascii="Arial" w:hAnsi="Arial" w:cs="Arial"/>
          <w:color w:val="000000"/>
          <w:sz w:val="22"/>
          <w:szCs w:val="22"/>
        </w:rPr>
        <w:fldChar w:fldCharType="end"/>
      </w:r>
      <w:r>
        <w:rPr>
          <w:rFonts w:ascii="Arial" w:hAnsi="Arial" w:cs="Arial"/>
          <w:color w:val="000000"/>
          <w:sz w:val="22"/>
          <w:szCs w:val="22"/>
        </w:rPr>
        <w:t xml:space="preserve">. The raw sequencing data is processed via an integrated pipeline written in Python, using Pandas, Numpy, and NetworkX libraries. Code and documentation are available at: </w:t>
      </w:r>
      <w:hyperlink r:id="rId5" w:history="1">
        <w:r>
          <w:rPr>
            <w:rStyle w:val="Hyperlink"/>
            <w:rFonts w:ascii="Arial" w:eastAsiaTheme="majorEastAsia" w:hAnsi="Arial" w:cs="Arial"/>
            <w:color w:val="1155CC"/>
            <w:sz w:val="22"/>
            <w:szCs w:val="22"/>
          </w:rPr>
          <w:t>https://github.com/ZadorLaboratory/mapseq-processing</w:t>
        </w:r>
      </w:hyperlink>
      <w:r>
        <w:rPr>
          <w:rFonts w:ascii="Arial" w:hAnsi="Arial" w:cs="Arial"/>
          <w:color w:val="000000"/>
          <w:sz w:val="22"/>
          <w:szCs w:val="22"/>
        </w:rPr>
        <w:t> </w:t>
      </w:r>
    </w:p>
    <w:p w14:paraId="6BBCF97D" w14:textId="77777777" w:rsidR="003618EC" w:rsidRDefault="003618EC" w:rsidP="003618EC">
      <w:pPr>
        <w:pStyle w:val="NormalWeb"/>
        <w:spacing w:before="0" w:beforeAutospacing="0" w:after="240" w:afterAutospacing="0"/>
        <w:rPr>
          <w:color w:val="000000"/>
        </w:rPr>
      </w:pPr>
      <w:r>
        <w:rPr>
          <w:rFonts w:ascii="Arial" w:hAnsi="Arial" w:cs="Arial"/>
          <w:color w:val="000000"/>
          <w:sz w:val="22"/>
          <w:szCs w:val="22"/>
        </w:rPr>
        <w:t>We first assemble the reads from the paired-end input, trimming each to the length of the sequence of interest. These sequences are then aggregated by exact duplicate and the read count for each unique sequence kept. We remove any data with ambiguous bases or long runs (&gt;7) of the same base. We label and categorize all the reads by SSI sequence and expected spike-in sub-sequence. </w:t>
      </w:r>
    </w:p>
    <w:p w14:paraId="4BBC0F6B" w14:textId="77777777" w:rsidR="003618EC" w:rsidRDefault="003618EC" w:rsidP="003618EC">
      <w:pPr>
        <w:pStyle w:val="NormalWeb"/>
        <w:spacing w:before="0" w:beforeAutospacing="0" w:after="240" w:afterAutospacing="0"/>
        <w:rPr>
          <w:color w:val="000000"/>
        </w:rPr>
      </w:pPr>
      <w:r>
        <w:rPr>
          <w:rFonts w:ascii="Arial" w:hAnsi="Arial" w:cs="Arial"/>
          <w:color w:val="000000"/>
          <w:sz w:val="22"/>
          <w:szCs w:val="22"/>
        </w:rPr>
        <w:t>In order to account for expected replication, amplification, and sequencing errors, we identify all barcodes that differ from each other by an edit distance of 3 or less. This parameter is informed by the barcode sequence length, and the known diversity of the virus library. All groups of barcodes are then collapsed to the most common variant, as measured by read count.    </w:t>
      </w:r>
    </w:p>
    <w:p w14:paraId="08A86201" w14:textId="77777777" w:rsidR="003618EC" w:rsidRPr="00B050B5" w:rsidRDefault="003618EC" w:rsidP="003618EC">
      <w:pPr>
        <w:pStyle w:val="NormalWeb"/>
        <w:spacing w:before="0" w:beforeAutospacing="0" w:after="240" w:afterAutospacing="0"/>
        <w:rPr>
          <w:color w:val="000000"/>
        </w:rPr>
      </w:pPr>
      <w:r>
        <w:rPr>
          <w:rFonts w:ascii="Arial" w:hAnsi="Arial" w:cs="Arial"/>
          <w:color w:val="000000"/>
          <w:sz w:val="22"/>
          <w:szCs w:val="22"/>
        </w:rPr>
        <w:t xml:space="preserve">We then aggregate by barcode, SSI, and UMI sequence, retaining the number of UMIs in each. To exclude low-confidence projections, we required a barcode to have at least 5 molecule counts in at least one projection region. We have also normalized the variation in library preparation and sequencing across different samples within each brain based on recovered spike-in RNA as described previously </w:t>
      </w:r>
      <w:r>
        <w:rPr>
          <w:rFonts w:ascii="Arial" w:hAnsi="Arial" w:cs="Arial"/>
          <w:color w:val="000000"/>
          <w:sz w:val="22"/>
          <w:szCs w:val="22"/>
        </w:rPr>
        <w:fldChar w:fldCharType="begin"/>
      </w:r>
      <w:r>
        <w:rPr>
          <w:rFonts w:ascii="Arial" w:hAnsi="Arial" w:cs="Arial"/>
          <w:color w:val="000000"/>
          <w:sz w:val="22"/>
          <w:szCs w:val="22"/>
        </w:rPr>
        <w:instrText xml:space="preserve"> ADDIN ZOTERO_ITEM CSL_CITATION {"citationID":"ybNvH2SV","properties":{"formattedCitation":"(Han et al. 2018; Kebschull et al. 2016)","plainCitation":"(Han et al. 2018; Kebschull et al. 2016)","noteIndex":0},"citationItems":[{"id":350,"uris":["http://zotero.org/users/11895209/items/66Z3TE4D"],"itemData":{"id":350,"type":"article-journal","abstract":"Neocortical areas communicate via extensive axonal projections, but the logic of information transfer is unresolved because the projections of individual neurons have not been systematically characterized. It is unknown whether individual neurons send projections only to single cortical areas, or instead distribute signals across multiple targets. Here we determined the projection patterns of 591 individual neurons in mouse primary visual cortex (V1) using whole-brain fluorescence-based axonal tracing and high-throughput DNA sequencing of genetically barcoded neurons (MAPseq). Projections were highly diverse and divergent, collectively targeting at least 18 cortical and subcortical areas. Most neurons target multiple cortical areas, often in non-random combinations, suggesting the existence of sub-classes of intracortical projection neurons. Thus the dominant mode of intracortical information transfer is not based on “one neuron – one target area” mapping. Instead, signals carried by individual cortical neurons are shared across subsets of target areas, and thus concurrently contribute to multiple functional pathways.","container-title":"Nature","DOI":"10.1038/nature26159","ISSN":"0028-0836","issue":"7699","journalAbbreviation":"Nature","note":"PMID: 29590093\nPMCID: PMC6585423","page":"51-56","source":"PubMed Central","title":"The logic of single-cell projections from visual cortex","volume":"556","author":[{"family":"Han","given":"Yunyun"},{"family":"Kebschull","given":"Justus M"},{"family":"Campbell","given":"Robert AA"},{"family":"Cowan","given":"Devon"},{"family":"Imhof","given":"Fabia"},{"family":"Zador","given":"Anthony M"},{"family":"Mrsic-Flogel","given":"Thomas D"}],"issued":{"date-parts":[["2018",4,5]]}}},{"id":342,"uris":["http://zotero.org/users/11895209/items/T93UDXUS"],"itemData":{"id":342,"type":"article-journal","abstract":"Neurons transmit information to distant brain regions via long-range axonal projections. In the mouse, area-to-area connections have only been systematically mapped using bulk labeling techniques, which obscure the diverse projections of intermingled single neurons. Here we describe MAPseq (Multiplexed Analysis of Projections by Sequencing), a technique that can map the projections of thousands or even millions of single neurons by labeling large sets of neurons with random RNA sequences (“barcodes”). Axons are filled with barcode mRNA, each putative projection area is dissected, and the barcode mRNA is extracted and sequenced. Applying MAPseq to the locus coeruleus (LC), we find that individual LC neurons have preferred cortical targets. By recasting neuroanatomy, which is traditionally viewed as a problem of microscopy, as a problem of sequencing, MAPseq harnesses advances in sequencing technology to permit high-throughput interrogation of brain circuits.","container-title":"Neuron","DOI":"10.1016/j.neuron.2016.07.036","ISSN":"0896-6273","issue":"5","journalAbbreviation":"Neuron","page":"975-987","source":"ScienceDirect","title":"High-Throughput Mapping of Single-Neuron Projections by Sequencing of Barcoded RNA","volume":"91","author":[{"family":"Kebschull","given":"Justus M."},{"family":"Garcia da Silva","given":"Pedro"},{"family":"Reid","given":"Ashlan P."},{"family":"Peikon","given":"Ian D."},{"family":"Albeanu","given":"Dinu F."},{"family":"Zador","given":"Anthony M."}],"issued":{"date-parts":[["2016",9,7]]}}}],"schema":"https://github.com/citation-style-language/schema/raw/master/csl-citation.json"} </w:instrText>
      </w:r>
      <w:r>
        <w:rPr>
          <w:rFonts w:ascii="Arial" w:hAnsi="Arial" w:cs="Arial"/>
          <w:color w:val="000000"/>
          <w:sz w:val="22"/>
          <w:szCs w:val="22"/>
        </w:rPr>
        <w:fldChar w:fldCharType="separate"/>
      </w:r>
      <w:r>
        <w:rPr>
          <w:rFonts w:ascii="Arial" w:hAnsi="Arial" w:cs="Arial"/>
          <w:noProof/>
          <w:color w:val="000000"/>
          <w:sz w:val="22"/>
          <w:szCs w:val="22"/>
        </w:rPr>
        <w:t>(Han et al. 2018; Kebschull et al. 2016)</w:t>
      </w:r>
      <w:r>
        <w:rPr>
          <w:rFonts w:ascii="Arial" w:hAnsi="Arial" w:cs="Arial"/>
          <w:color w:val="000000"/>
          <w:sz w:val="22"/>
          <w:szCs w:val="22"/>
        </w:rPr>
        <w:fldChar w:fldCharType="end"/>
      </w:r>
      <w:r>
        <w:rPr>
          <w:rFonts w:ascii="Arial" w:hAnsi="Arial" w:cs="Arial"/>
          <w:color w:val="000000"/>
          <w:sz w:val="22"/>
          <w:szCs w:val="22"/>
        </w:rPr>
        <w:t>.</w:t>
      </w:r>
    </w:p>
    <w:p w14:paraId="3EC46394" w14:textId="77777777" w:rsidR="003618EC" w:rsidRPr="001C55B3" w:rsidRDefault="003618EC" w:rsidP="003618EC">
      <w:pPr>
        <w:pStyle w:val="NormalWeb"/>
        <w:spacing w:before="0" w:beforeAutospacing="0" w:after="0" w:afterAutospacing="0"/>
        <w:rPr>
          <w:rFonts w:ascii="Arial" w:hAnsi="Arial" w:cs="Arial"/>
          <w:b/>
          <w:bCs/>
          <w:i/>
          <w:iCs/>
          <w:sz w:val="22"/>
          <w:szCs w:val="22"/>
        </w:rPr>
      </w:pPr>
      <w:r w:rsidRPr="001C55B3">
        <w:rPr>
          <w:rFonts w:ascii="Arial" w:hAnsi="Arial" w:cs="Arial"/>
          <w:b/>
          <w:bCs/>
          <w:i/>
          <w:iCs/>
          <w:sz w:val="22"/>
          <w:szCs w:val="22"/>
        </w:rPr>
        <w:t>BARseq library preparation</w:t>
      </w:r>
    </w:p>
    <w:p w14:paraId="0F2D0CD8" w14:textId="77777777" w:rsidR="003618EC" w:rsidRPr="001C55B3" w:rsidRDefault="003618EC" w:rsidP="003618EC">
      <w:pPr>
        <w:pStyle w:val="NormalWeb"/>
        <w:spacing w:before="0" w:beforeAutospacing="0" w:after="240" w:afterAutospacing="0"/>
        <w:rPr>
          <w:rFonts w:ascii="Arial" w:hAnsi="Arial" w:cs="Arial"/>
          <w:sz w:val="22"/>
          <w:szCs w:val="22"/>
        </w:rPr>
      </w:pPr>
      <w:r w:rsidRPr="001C55B3">
        <w:rPr>
          <w:rFonts w:ascii="Arial" w:hAnsi="Arial" w:cs="Arial"/>
          <w:sz w:val="22"/>
          <w:szCs w:val="22"/>
        </w:rPr>
        <w:t xml:space="preserve">BARseq samples for in situ sequencing were prepared </w:t>
      </w:r>
      <w:r>
        <w:rPr>
          <w:rFonts w:ascii="Arial" w:hAnsi="Arial" w:cs="Arial"/>
          <w:sz w:val="22"/>
          <w:szCs w:val="22"/>
        </w:rPr>
        <w:t xml:space="preserve">using the following protocol </w:t>
      </w:r>
      <w:hyperlink r:id="rId6" w:history="1">
        <w:r w:rsidRPr="00D74DDE">
          <w:rPr>
            <w:rStyle w:val="Hyperlink"/>
            <w:rFonts w:ascii="Arial" w:hAnsi="Arial" w:cs="Arial"/>
            <w:sz w:val="22"/>
            <w:szCs w:val="22"/>
          </w:rPr>
          <w:t>(dx.doi.org/10.17504/protocols.io.n2bvj82q5gk5/v1),</w:t>
        </w:r>
      </w:hyperlink>
      <w:r>
        <w:rPr>
          <w:rFonts w:ascii="Arial" w:hAnsi="Arial" w:cs="Arial"/>
          <w:sz w:val="22"/>
          <w:szCs w:val="22"/>
        </w:rPr>
        <w:t xml:space="preserve"> </w:t>
      </w:r>
      <w:r w:rsidRPr="001C55B3">
        <w:rPr>
          <w:rFonts w:ascii="Arial" w:hAnsi="Arial" w:cs="Arial"/>
          <w:sz w:val="22"/>
          <w:szCs w:val="22"/>
        </w:rPr>
        <w:t xml:space="preserve">as </w:t>
      </w:r>
      <w:r>
        <w:rPr>
          <w:rFonts w:ascii="Arial" w:hAnsi="Arial" w:cs="Arial"/>
          <w:sz w:val="22"/>
          <w:szCs w:val="22"/>
        </w:rPr>
        <w:t xml:space="preserve">described </w:t>
      </w:r>
      <w:r w:rsidRPr="001C55B3">
        <w:rPr>
          <w:rFonts w:ascii="Arial" w:hAnsi="Arial" w:cs="Arial"/>
          <w:sz w:val="22"/>
          <w:szCs w:val="22"/>
        </w:rPr>
        <w:t xml:space="preserve">previously </w:t>
      </w:r>
      <w:r>
        <w:rPr>
          <w:rFonts w:ascii="Arial" w:hAnsi="Arial" w:cs="Arial"/>
          <w:sz w:val="22"/>
          <w:szCs w:val="22"/>
        </w:rPr>
        <w:fldChar w:fldCharType="begin"/>
      </w:r>
      <w:r>
        <w:rPr>
          <w:rFonts w:ascii="Arial" w:hAnsi="Arial" w:cs="Arial"/>
          <w:sz w:val="22"/>
          <w:szCs w:val="22"/>
        </w:rPr>
        <w:instrText xml:space="preserve"> ADDIN ZOTERO_ITEM CSL_CITATION {"citationID":"n1NWVWUL","properties":{"formattedCitation":"(Chen et al. 2019; Sun et al. 2021; Chen et al. 2022)","plainCitation":"(Chen et al. 2019; Sun et al. 2021; Chen et al. 2022)","noteIndex":0},"citationItems":[{"id":345,"uris":["http://zotero.org/users/11895209/items/JP79LDGU"],"itemData":{"id":345,"type":"article-journal","abstract":"Understanding neural circuits requires deciphering interactions among myriad cell types defined by spatial organization, connectivity, gene expression, and other properties. Resolving these cell types requires both single-neuron resolution and high throughput, a challenging combination with conventional methods. Here, we introduce barcoded anatomy resolved by sequencing (BARseq), a multiplexed method based on RNA barcoding for mapping projections of thousands of spatially resolved neurons in a single brain and relating those projections to other properties such as gene or Cre expression. Mapping the projections to 11 areas of 3,579 neurons in mouse auditory cortex using BARseq confirmed the laminar organization of the three top classes (intratelencephalic [IT], pyramidal tract-like [PT-like], and corticothalamic [CT]) of projection neurons. In depth analysis uncovered a projection type restricted almost exclusively to transcriptionally defined subtypes of IT neurons. By bridging anatomical and transcriptomic approaches at cellular resolution with high throughput, BARseq can potentially uncover the organizing principles underlying the structure and formation of neural circuits.","container-title":"Cell","DOI":"10.1016/j.cell.2019.09.023","ISSN":"0092-8674","issue":"3","journalAbbreviation":"Cell","page":"772-786.e19","source":"ScienceDirect","title":"High-Throughput Mapping of Long-Range Neuronal Projection Using &lt;i&gt;In Situ&lt;/i&gt; Sequencing","volume":"179","author":[{"family":"Chen","given":"Xiaoyin"},{"family":"Sun","given":"Yu-Chi"},{"family":"Zhan","given":"Huiqing"},{"family":"Kebschull","given":"Justus M."},{"family":"Fischer","given":"Stephan"},{"family":"Matho","given":"Katherine"},{"family":"Huang","given":"Z. Josh"},{"family":"Gillis","given":"Jesse"},{"family":"Zador","given":"Anthony M."}],"issued":{"date-parts":[["2019",10,17]]}}},{"id":360,"uris":["http://zotero.org/users/11895209/items/N2Q8MUZT"],"itemData":{"id":360,"type":"article-journal","container-title":"Nature Neuroscience","DOI":"10.1038/s41593-021-00842-4","ISSN":"1097-6256, 1546-1726","issue":"6","journalAbbreviation":"Nat Neurosci","language":"en","page":"873-885","source":"DOI.org (Crossref)","title":"Integrating barcoded neuroanatomy with spatial transcriptional profiling enables identification of gene correlates of projections","volume":"24","author":[{"family":"Sun","given":"Yu-Chi"},{"family":"Chen","given":"Xiaoyin"},{"family":"Fischer","given":"Stephan"},{"family":"Lu","given":"Shaina"},{"family":"Zhan","given":"Huiqing"},{"family":"Gillis","given":"Jesse"},{"family":"Zador","given":"Anthony M."}],"issued":{"date-parts":[["2021",6]]}}},{"id":942,"uris":["http://zotero.org/users/11895209/items/4TFUPWRL"],"itemData":{"id":942,"type":"article","abstract":"Abstract\n          \n            The cortex is composed of neuronal types with diverse gene expression that are organized into specialized cortical areas. These areas, each with characteristic cytoarchitecture (Brodmann 1909; Vogt and Vogt 1919; Von Bonin 1947), connectivity (Zingg et al. 2014; Harris et al. 2019), and neuronal activity (Schwarz et al. 2008; Ferrarini et al. 2009; He et al. 2009; Meunier et al. 2010; Bertolero et al. 2015), are wired into modular networks (Zingg et al. 2014; Harris et al. 2019; Huang et al. 2020). However, it remains unclear whether cortical areas and their modular organization can be similarly defined by their transcriptomic signatures and how such signatures are established in development. Here we used BARseq, a high-throughput\n            in situ\n            sequencing technique, to interrogate the expression of 104 cell type marker genes in 10.3 million cells, including 4,194,658 cortical neurons over nine mouse forebrain hemispheres at cellular resolution.\n            De novo\n            clustering of gene expression in single neurons revealed transcriptomic types that were consistent with previous single-cell RNAseq studies(Yao et al. 2021a; Yao et al. 2021b). Gene expression and the distribution of fine-grained cell types vary along the contours of cortical areas, and the composition of transcriptomic types are highly predictive of cortical area identity. Moreover, areas with similar compositions of transcriptomic types, which we defined as cortical modules, overlap with areas that are highly connected, suggesting that the same modular organization is reflected in both transcriptomic signatures and connectivity. To explore how the transcriptomic profiles of cortical neurons depend on development, we compared the cell type distributions after neonatal binocular enucleation. Strikingly, binocular enucleation caused the cell type compositional profiles of visual areas to shift towards neighboring areas within the same cortical module, suggesting that peripheral inputs sharpen the distinct transcriptomic identities of areas within cortical modules. Enabled by the high-throughput, low-cost, and reproducibility of BARseq, our study provides a proof-of-principle for using large-scale\n            in situ\n            sequencing to reveal brain-wide molecular architecture and to understand its development.","DOI":"10.1101/2022.11.06.515380","language":"en","publisher":"Neuroscience","source":"DOI.org (Crossref)","title":"Whole-cortex in situ sequencing reveals peripheral input-dependent cell type-defined area identity","URL":"http://biorxiv.org/lookup/doi/10.1101/2022.11.06.515380","author":[{"family":"Chen","given":"Xiaoyin"},{"family":"Fischer","given":"Stephan"},{"family":"Rue","given":"Mara Cp"},{"family":"Zhang","given":"Aixin"},{"family":"Mukherjee","given":"Didhiti"},{"family":"Kanold","given":"Patrick O"},{"family":"Gillis","given":"Jesse"},{"family":"Zador","given":"Anthony M"}],"accessed":{"date-parts":[["2026",1,6]]},"issued":{"date-parts":[["2022",11,6]]}}}],"schema":"https://github.com/citation-style-language/schema/raw/master/csl-citation.json"} </w:instrText>
      </w:r>
      <w:r>
        <w:rPr>
          <w:rFonts w:ascii="Arial" w:hAnsi="Arial" w:cs="Arial"/>
          <w:sz w:val="22"/>
          <w:szCs w:val="22"/>
        </w:rPr>
        <w:fldChar w:fldCharType="separate"/>
      </w:r>
      <w:r>
        <w:rPr>
          <w:rFonts w:ascii="Arial" w:hAnsi="Arial" w:cs="Arial"/>
          <w:noProof/>
          <w:sz w:val="22"/>
          <w:szCs w:val="22"/>
        </w:rPr>
        <w:t>(Chen et al. 2019; Sun et al. 2021; Chen et al. 2022)</w:t>
      </w:r>
      <w:r>
        <w:rPr>
          <w:rFonts w:ascii="Arial" w:hAnsi="Arial" w:cs="Arial"/>
          <w:sz w:val="22"/>
          <w:szCs w:val="22"/>
        </w:rPr>
        <w:fldChar w:fldCharType="end"/>
      </w:r>
      <w:r>
        <w:rPr>
          <w:rFonts w:ascii="Arial" w:hAnsi="Arial" w:cs="Arial"/>
          <w:sz w:val="22"/>
          <w:szCs w:val="22"/>
        </w:rPr>
        <w:t>.</w:t>
      </w:r>
    </w:p>
    <w:p w14:paraId="4E527968" w14:textId="77777777" w:rsidR="003618EC" w:rsidRPr="001C55B3" w:rsidRDefault="003618EC" w:rsidP="003618EC">
      <w:pPr>
        <w:pStyle w:val="NormalWeb"/>
        <w:spacing w:before="0" w:beforeAutospacing="0" w:after="240" w:afterAutospacing="0"/>
        <w:rPr>
          <w:rFonts w:ascii="Arial" w:hAnsi="Arial" w:cs="Arial"/>
          <w:sz w:val="22"/>
          <w:szCs w:val="22"/>
        </w:rPr>
      </w:pPr>
      <w:r w:rsidRPr="001C55B3">
        <w:rPr>
          <w:rFonts w:ascii="Arial" w:hAnsi="Arial" w:cs="Arial"/>
          <w:sz w:val="22"/>
          <w:szCs w:val="22"/>
        </w:rPr>
        <w:t xml:space="preserve">Briefly, brain sections were fixed in 4% paraformaldehyde in PBS for 1 hr, dehydrated through 70%, 85%, and 100% ethanol, and incubated in 100% ethanol for 1.5 hr at 4 °C. After rehydration in PBST (PBS and 0.5% Tween-20), slices were incubated in the reverse transcription mix (RT primers, 20 U/μL RevertAid H Minus M-MuLV reverse transcriptase, 500 μM dNTP, 0.2 μg/μL BSA, 1 U/μL RiboLock RNase Inhibitor, 1×RevertAid RT buffer) at 37 °C overnight. </w:t>
      </w:r>
    </w:p>
    <w:p w14:paraId="4D087ACC" w14:textId="77777777" w:rsidR="003618EC" w:rsidRPr="001C55B3" w:rsidRDefault="003618EC" w:rsidP="003618EC">
      <w:pPr>
        <w:pStyle w:val="NormalWeb"/>
        <w:spacing w:before="0" w:beforeAutospacing="0" w:after="240" w:afterAutospacing="0"/>
        <w:rPr>
          <w:rFonts w:ascii="Arial" w:hAnsi="Arial" w:cs="Arial"/>
          <w:sz w:val="22"/>
          <w:szCs w:val="22"/>
        </w:rPr>
      </w:pPr>
      <w:r w:rsidRPr="001C55B3">
        <w:rPr>
          <w:rFonts w:ascii="Arial" w:hAnsi="Arial" w:cs="Arial"/>
          <w:sz w:val="22"/>
          <w:szCs w:val="22"/>
        </w:rPr>
        <w:t>On day two, cDNA was cross-linked using BS(PEG)9 (40 μL in 160 μL PBST) for 1 hr, the remaining crosslinker neutralized with 1 M Tris pH 8.0 for 30 min, followed by a wash with PBST. Sections were then incubated with non-gap-filling ligation mix (1×Ampligase buffer, padlock probe mix for endogenous genes, 0.5 U/μL Ampligase, 0.4 U/μL RNase H, 1 U/μL RiboLock RNase Inhibitor, additional 50 mM KCl, 20% formamide) for 30 min at 37 °C and 45 min at 45 °C. Then sections were incubated in gap-filling ligation mix (same as the non-gap-</w:t>
      </w:r>
      <w:r w:rsidRPr="001C55B3">
        <w:rPr>
          <w:rFonts w:ascii="Arial" w:hAnsi="Arial" w:cs="Arial"/>
          <w:sz w:val="22"/>
          <w:szCs w:val="22"/>
        </w:rPr>
        <w:lastRenderedPageBreak/>
        <w:t xml:space="preserve">filling mix with the Sindbis barcode padlock probe [XCAI5] as the only padlock probe, and with 50 μM dNTP, 0.2 U/μL Phusion DNA polymerase, and 5% glycerol) for 5 min at 37 °C and 45 min at 45 °C. After the second round of ligation, samples were washed with PBST, hybridized with 1 μM RCA primer (XC1417) for 10 mins in 2×SSC with10% formamide, followed by two washes in 2×SSC with10% formamide and twice in PBST, then incubated in the RCA mix (1 U/μL phi29 DNA polymerase, 1 x phi29 polymerase buffer, 0.25 mM dNTP, 0.2 μg/μL BSA, 5% glycerol (extra of those from the enzymes), 125 μM aminoallyl dUTP) overnight at room temperature to complete rolling circle amplification. </w:t>
      </w:r>
    </w:p>
    <w:p w14:paraId="595BD327" w14:textId="77777777" w:rsidR="003618EC" w:rsidRPr="001C55B3" w:rsidRDefault="003618EC" w:rsidP="003618EC">
      <w:pPr>
        <w:pStyle w:val="NormalWeb"/>
        <w:spacing w:before="0" w:beforeAutospacing="0" w:after="240" w:afterAutospacing="0"/>
        <w:rPr>
          <w:rFonts w:ascii="Arial" w:hAnsi="Arial" w:cs="Arial"/>
          <w:sz w:val="22"/>
          <w:szCs w:val="22"/>
        </w:rPr>
      </w:pPr>
      <w:r w:rsidRPr="001C55B3">
        <w:rPr>
          <w:rFonts w:ascii="Arial" w:hAnsi="Arial" w:cs="Arial"/>
          <w:sz w:val="22"/>
          <w:szCs w:val="22"/>
        </w:rPr>
        <w:t>On day three, rolonies were crosslinked using BS(PEG)9 (40 μL in 160 μL PBST) for 1 hr, the remaining crosslinker neutralized with 1 M Tris pH 8.0 for 30 min, followed by a wash with PBST.</w:t>
      </w:r>
    </w:p>
    <w:p w14:paraId="32C0605A" w14:textId="77777777" w:rsidR="003618EC" w:rsidRPr="001C55B3" w:rsidRDefault="003618EC" w:rsidP="003618EC">
      <w:pPr>
        <w:pStyle w:val="NormalWeb"/>
        <w:spacing w:before="0" w:beforeAutospacing="0" w:after="0" w:afterAutospacing="0"/>
        <w:rPr>
          <w:rFonts w:ascii="Arial" w:hAnsi="Arial" w:cs="Arial"/>
          <w:sz w:val="22"/>
          <w:szCs w:val="22"/>
        </w:rPr>
      </w:pPr>
      <w:r w:rsidRPr="001C55B3">
        <w:rPr>
          <w:rFonts w:ascii="Arial" w:hAnsi="Arial" w:cs="Arial"/>
          <w:b/>
          <w:bCs/>
          <w:i/>
          <w:iCs/>
          <w:sz w:val="22"/>
          <w:szCs w:val="22"/>
        </w:rPr>
        <w:t>BARseq sequencing and imaging</w:t>
      </w:r>
    </w:p>
    <w:p w14:paraId="193D26BA" w14:textId="77777777" w:rsidR="003618EC" w:rsidRPr="001C55B3" w:rsidRDefault="003618EC" w:rsidP="003618EC">
      <w:pPr>
        <w:pStyle w:val="NormalWeb"/>
        <w:spacing w:before="0" w:beforeAutospacing="0" w:after="240"/>
        <w:rPr>
          <w:rFonts w:ascii="Arial" w:hAnsi="Arial" w:cs="Arial"/>
          <w:sz w:val="22"/>
          <w:szCs w:val="22"/>
        </w:rPr>
      </w:pPr>
      <w:r w:rsidRPr="001C55B3">
        <w:rPr>
          <w:rFonts w:ascii="Arial" w:hAnsi="Arial" w:cs="Arial"/>
          <w:sz w:val="22"/>
          <w:szCs w:val="22"/>
        </w:rPr>
        <w:t>Sequencing was performed using Illumina MiSeq Reagent Nano Kit v2 (300-cycles) and imaged on a Nikon Ti2-E microscope with Crest xlight v3 spinning disk confocal, photometrics Kinetix camera, and Lumencor Celesta laser. All images were taken with a Nikon CFI S Plan Fluor LWD 20X</w:t>
      </w:r>
      <w:r>
        <w:rPr>
          <w:rFonts w:ascii="Arial" w:hAnsi="Arial" w:cs="Arial"/>
          <w:sz w:val="22"/>
          <w:szCs w:val="22"/>
        </w:rPr>
        <w:t xml:space="preserve"> 0.7NA non-immersion</w:t>
      </w:r>
      <w:r w:rsidRPr="001C55B3">
        <w:rPr>
          <w:rFonts w:ascii="Arial" w:hAnsi="Arial" w:cs="Arial"/>
          <w:sz w:val="22"/>
          <w:szCs w:val="22"/>
        </w:rPr>
        <w:t xml:space="preserve"> objective. For each sample, first seven sequencing cycles probe </w:t>
      </w:r>
      <w:r>
        <w:rPr>
          <w:rFonts w:ascii="Arial" w:hAnsi="Arial" w:cs="Arial"/>
          <w:sz w:val="22"/>
          <w:szCs w:val="22"/>
        </w:rPr>
        <w:t>the selected gene panel</w:t>
      </w:r>
      <w:r w:rsidRPr="001C55B3">
        <w:rPr>
          <w:rFonts w:ascii="Arial" w:hAnsi="Arial" w:cs="Arial"/>
          <w:sz w:val="22"/>
          <w:szCs w:val="22"/>
        </w:rPr>
        <w:t>, followed by 15 sequencing cycles for barcodes</w:t>
      </w:r>
      <w:r>
        <w:rPr>
          <w:rFonts w:ascii="Arial" w:hAnsi="Arial" w:cs="Arial"/>
          <w:sz w:val="22"/>
          <w:szCs w:val="22"/>
        </w:rPr>
        <w:t>, followed by hybridization cycle</w:t>
      </w:r>
      <w:r w:rsidRPr="001C55B3">
        <w:rPr>
          <w:rFonts w:ascii="Arial" w:hAnsi="Arial" w:cs="Arial"/>
          <w:sz w:val="22"/>
          <w:szCs w:val="22"/>
        </w:rPr>
        <w:t xml:space="preserve">. In each imaging round, a z-stack of </w:t>
      </w:r>
      <w:r w:rsidRPr="005501C9">
        <w:rPr>
          <w:rFonts w:ascii="Arial" w:hAnsi="Arial" w:cs="Arial"/>
          <w:sz w:val="22"/>
          <w:szCs w:val="22"/>
        </w:rPr>
        <w:t>10 i</w:t>
      </w:r>
      <w:r w:rsidRPr="001C55B3">
        <w:rPr>
          <w:rFonts w:ascii="Arial" w:hAnsi="Arial" w:cs="Arial"/>
          <w:sz w:val="22"/>
          <w:szCs w:val="22"/>
        </w:rPr>
        <w:t xml:space="preserve">mages centered around the region of interest was captured with a 1.5 μm step size at each field of view (FOV). Adjacent FOVs had an overlap of 24%. </w:t>
      </w:r>
    </w:p>
    <w:p w14:paraId="5A0372BA" w14:textId="77777777" w:rsidR="003618EC" w:rsidRPr="001C55B3" w:rsidRDefault="003618EC" w:rsidP="003618EC">
      <w:pPr>
        <w:pStyle w:val="NormalWeb"/>
        <w:spacing w:after="240"/>
        <w:rPr>
          <w:rFonts w:ascii="Arial" w:hAnsi="Arial" w:cs="Arial"/>
          <w:sz w:val="22"/>
          <w:szCs w:val="22"/>
        </w:rPr>
      </w:pPr>
      <w:r>
        <w:rPr>
          <w:rFonts w:ascii="Arial" w:hAnsi="Arial" w:cs="Arial"/>
          <w:sz w:val="22"/>
          <w:szCs w:val="22"/>
        </w:rPr>
        <w:t>D</w:t>
      </w:r>
      <w:r w:rsidRPr="001C55B3">
        <w:rPr>
          <w:rFonts w:ascii="Arial" w:hAnsi="Arial" w:cs="Arial"/>
          <w:sz w:val="22"/>
          <w:szCs w:val="22"/>
        </w:rPr>
        <w:t xml:space="preserve">etailed </w:t>
      </w:r>
      <w:r>
        <w:rPr>
          <w:rFonts w:ascii="Arial" w:hAnsi="Arial" w:cs="Arial"/>
          <w:sz w:val="22"/>
          <w:szCs w:val="22"/>
        </w:rPr>
        <w:t xml:space="preserve">protocol is available here </w:t>
      </w:r>
      <w:hyperlink r:id="rId7" w:history="1">
        <w:r>
          <w:rPr>
            <w:rStyle w:val="Hyperlink"/>
            <w:rFonts w:ascii="Arial" w:hAnsi="Arial" w:cs="Arial"/>
            <w:sz w:val="22"/>
            <w:szCs w:val="22"/>
          </w:rPr>
          <w:t>(dx.doi.org/10.17504/protocols.io.81wgbp4j3vpk/v2)</w:t>
        </w:r>
      </w:hyperlink>
      <w:r>
        <w:t>.</w:t>
      </w:r>
      <w:r>
        <w:rPr>
          <w:rFonts w:ascii="Arial" w:hAnsi="Arial" w:cs="Arial"/>
          <w:sz w:val="22"/>
          <w:szCs w:val="22"/>
        </w:rPr>
        <w:t xml:space="preserve"> Briefly, f</w:t>
      </w:r>
      <w:r w:rsidRPr="001C55B3">
        <w:rPr>
          <w:rFonts w:ascii="Arial" w:hAnsi="Arial" w:cs="Arial"/>
          <w:sz w:val="22"/>
          <w:szCs w:val="22"/>
        </w:rPr>
        <w:t>or sequencing the first gene cycles, the sequencing primer (YS220) was hybridized in 2×SSC with 10% formamide for 10 minutes at room temperature. Subsequently, the sample underwent two washes in 2×SSC with 10% formamide and twice in PBS2T (PBS with 2% Tween-20). Following this, the sample was incubated in MiSeq Incorporation buffer at 60 °C for 3 minutes, followed by a wash in PBS2T. The sample was then exposed to Iodoacetamide (9.3 mg vial in 2.5 mL PBS2T) at 60 °C for 3 minutes, followed by a single wash in PBS2T and twice in Incorporation buffer. It was then subjected to two incubations in IMS at 60 °C for 3 minutes, followed by four washes with PBS2T at 60 °C for 3 minutes. Finally, the sample was washed and imaged in SRE.</w:t>
      </w:r>
    </w:p>
    <w:p w14:paraId="51553C82" w14:textId="77777777" w:rsidR="003618EC" w:rsidRPr="001C55B3" w:rsidRDefault="003618EC" w:rsidP="003618EC">
      <w:pPr>
        <w:pStyle w:val="NormalWeb"/>
        <w:spacing w:after="240"/>
        <w:rPr>
          <w:rFonts w:ascii="Arial" w:hAnsi="Arial" w:cs="Arial"/>
          <w:sz w:val="22"/>
          <w:szCs w:val="22"/>
        </w:rPr>
      </w:pPr>
      <w:r w:rsidRPr="001C55B3">
        <w:rPr>
          <w:rFonts w:ascii="Arial" w:hAnsi="Arial" w:cs="Arial"/>
          <w:sz w:val="22"/>
          <w:szCs w:val="22"/>
        </w:rPr>
        <w:t>For sequencing the first barcode cycle, the sequenced products were initially stripped with three 10-minute incubations at 60 °C in 2×SSC with 60% formamide. Subsequently, the sample was washed with 2×SSC with 10% formamide, and the barcode sequencing primer (XCAI5) was hybridized. The sequencing process then proceeded similarly to the first gene cycle.</w:t>
      </w:r>
    </w:p>
    <w:p w14:paraId="4DFF397E" w14:textId="77777777" w:rsidR="003618EC" w:rsidRPr="001C55B3" w:rsidRDefault="003618EC" w:rsidP="003618EC">
      <w:pPr>
        <w:pStyle w:val="NormalWeb"/>
        <w:spacing w:after="240"/>
        <w:rPr>
          <w:rFonts w:ascii="Arial" w:hAnsi="Arial" w:cs="Arial"/>
          <w:sz w:val="22"/>
          <w:szCs w:val="22"/>
        </w:rPr>
      </w:pPr>
      <w:r w:rsidRPr="001C55B3">
        <w:rPr>
          <w:rFonts w:ascii="Arial" w:hAnsi="Arial" w:cs="Arial"/>
          <w:sz w:val="22"/>
          <w:szCs w:val="22"/>
        </w:rPr>
        <w:t>For subsequent sequencing cycles for both genes and barcodes, the sample underwent two washes in Incorporation buffer, followed by two incubations in CMS at 60 °C for 3 minutes. This was succeeded by two more washes in Incorporation buffer, after which the sample was treated with iodoacetamide as in the first sequencing cycle.</w:t>
      </w:r>
    </w:p>
    <w:p w14:paraId="534D70B0" w14:textId="77777777" w:rsidR="003618EC" w:rsidRDefault="003618EC" w:rsidP="003618EC">
      <w:pPr>
        <w:pStyle w:val="NormalWeb"/>
        <w:spacing w:before="0" w:beforeAutospacing="0" w:after="240" w:afterAutospacing="0"/>
        <w:rPr>
          <w:rFonts w:ascii="Arial" w:hAnsi="Arial" w:cs="Arial"/>
          <w:sz w:val="22"/>
          <w:szCs w:val="22"/>
        </w:rPr>
      </w:pPr>
      <w:r w:rsidRPr="001C55B3">
        <w:rPr>
          <w:rFonts w:ascii="Arial" w:hAnsi="Arial" w:cs="Arial"/>
          <w:sz w:val="22"/>
          <w:szCs w:val="22"/>
        </w:rPr>
        <w:t>During hybridization cycles, the sequenced products were stripped with three 10-minute incubations at 60 °C in 2×SSC with 60% formamide. The sample was then washed with 2×SSC with 10% formamide. Following this, the hybridization probes (XC2758, XC2759, XC2760, YS221) were hybridized for 10 minutes at room temperature. The sample was subsequently washed twice with 2×SSC with 10% formamide and incubated in PBST with 0.002 mg/mL DAPI for 5 minutes. Finally, the sample was transferred to SRE for imaging.</w:t>
      </w:r>
    </w:p>
    <w:p w14:paraId="5CE8E894" w14:textId="77777777" w:rsidR="003618EC" w:rsidRPr="001C55B3" w:rsidRDefault="003618EC" w:rsidP="003618EC">
      <w:pPr>
        <w:pStyle w:val="NormalWeb"/>
        <w:spacing w:before="0" w:beforeAutospacing="0" w:after="240" w:afterAutospacing="0"/>
        <w:rPr>
          <w:rFonts w:ascii="Arial" w:hAnsi="Arial" w:cs="Arial"/>
          <w:sz w:val="22"/>
          <w:szCs w:val="22"/>
        </w:rPr>
      </w:pPr>
      <w:r>
        <w:rPr>
          <w:rFonts w:ascii="Arial" w:hAnsi="Arial" w:cs="Arial"/>
          <w:sz w:val="22"/>
          <w:szCs w:val="22"/>
        </w:rPr>
        <w:lastRenderedPageBreak/>
        <w:t xml:space="preserve">For brain #1 all the above steps were completed manually. For the subsequent samples in situ sequencing was performed on an automated microfluidics set up mounted on the microscope using the same reagents, temperatures and incubation durations. </w:t>
      </w:r>
    </w:p>
    <w:p w14:paraId="6E2F4B08" w14:textId="77777777" w:rsidR="003618EC" w:rsidRPr="001C55B3" w:rsidRDefault="003618EC" w:rsidP="003618EC">
      <w:pPr>
        <w:pStyle w:val="NormalWeb"/>
        <w:spacing w:before="0" w:beforeAutospacing="0" w:after="0" w:afterAutospacing="0"/>
        <w:rPr>
          <w:rFonts w:ascii="Arial" w:hAnsi="Arial" w:cs="Arial"/>
          <w:b/>
          <w:bCs/>
          <w:i/>
          <w:iCs/>
          <w:sz w:val="22"/>
          <w:szCs w:val="22"/>
        </w:rPr>
      </w:pPr>
      <w:r w:rsidRPr="001C55B3">
        <w:rPr>
          <w:rFonts w:ascii="Arial" w:hAnsi="Arial" w:cs="Arial"/>
          <w:b/>
          <w:bCs/>
          <w:i/>
          <w:iCs/>
          <w:sz w:val="22"/>
          <w:szCs w:val="22"/>
        </w:rPr>
        <w:t>BARseq data processing</w:t>
      </w:r>
    </w:p>
    <w:p w14:paraId="275E66DF" w14:textId="77777777" w:rsidR="003618EC" w:rsidRPr="001C55B3" w:rsidRDefault="003618EC" w:rsidP="003618EC">
      <w:pPr>
        <w:pStyle w:val="NormalWeb"/>
        <w:spacing w:before="0" w:beforeAutospacing="0" w:after="240"/>
        <w:rPr>
          <w:rFonts w:ascii="Arial" w:hAnsi="Arial" w:cs="Arial"/>
          <w:sz w:val="22"/>
          <w:szCs w:val="22"/>
        </w:rPr>
      </w:pPr>
      <w:r w:rsidRPr="001C55B3">
        <w:rPr>
          <w:rFonts w:ascii="Arial" w:hAnsi="Arial" w:cs="Arial"/>
          <w:sz w:val="22"/>
          <w:szCs w:val="22"/>
        </w:rPr>
        <w:t xml:space="preserve">BARseq data were processed according to previous methods </w:t>
      </w:r>
      <w:r>
        <w:rPr>
          <w:rFonts w:ascii="Arial" w:hAnsi="Arial" w:cs="Arial"/>
          <w:sz w:val="22"/>
          <w:szCs w:val="22"/>
        </w:rPr>
        <w:fldChar w:fldCharType="begin"/>
      </w:r>
      <w:r>
        <w:rPr>
          <w:rFonts w:ascii="Arial" w:hAnsi="Arial" w:cs="Arial"/>
          <w:sz w:val="22"/>
          <w:szCs w:val="22"/>
        </w:rPr>
        <w:instrText xml:space="preserve"> ADDIN ZOTERO_ITEM CSL_CITATION {"citationID":"NYzGVx92","properties":{"formattedCitation":"(Sun et al. 2021)","plainCitation":"(Sun et al. 2021)","noteIndex":0},"citationItems":[{"id":360,"uris":["http://zotero.org/users/11895209/items/N2Q8MUZT"],"itemData":{"id":360,"type":"article-journal","container-title":"Nature Neuroscience","DOI":"10.1038/s41593-021-00842-4","ISSN":"1097-6256, 1546-1726","issue":"6","journalAbbreviation":"Nat Neurosci","language":"en","page":"873-885","source":"DOI.org (Crossref)","title":"Integrating barcoded neuroanatomy with spatial transcriptional profiling enables identification of gene correlates of projections","volume":"24","author":[{"family":"Sun","given":"Yu-Chi"},{"family":"Chen","given":"Xiaoyin"},{"family":"Fischer","given":"Stephan"},{"family":"Lu","given":"Shaina"},{"family":"Zhan","given":"Huiqing"},{"family":"Gillis","given":"Jesse"},{"family":"Zador","given":"Anthony M."}],"issued":{"date-parts":[["2021",6]]}}}],"schema":"https://github.com/citation-style-language/schema/raw/master/csl-citation.json"} </w:instrText>
      </w:r>
      <w:r>
        <w:rPr>
          <w:rFonts w:ascii="Arial" w:hAnsi="Arial" w:cs="Arial"/>
          <w:sz w:val="22"/>
          <w:szCs w:val="22"/>
        </w:rPr>
        <w:fldChar w:fldCharType="separate"/>
      </w:r>
      <w:r>
        <w:rPr>
          <w:rFonts w:ascii="Arial" w:hAnsi="Arial" w:cs="Arial"/>
          <w:noProof/>
          <w:sz w:val="22"/>
          <w:szCs w:val="22"/>
        </w:rPr>
        <w:t>(Sun et al. 2021)</w:t>
      </w:r>
      <w:r>
        <w:rPr>
          <w:rFonts w:ascii="Arial" w:hAnsi="Arial" w:cs="Arial"/>
          <w:sz w:val="22"/>
          <w:szCs w:val="22"/>
        </w:rPr>
        <w:fldChar w:fldCharType="end"/>
      </w:r>
      <w:r w:rsidRPr="001C55B3">
        <w:rPr>
          <w:rFonts w:ascii="Arial" w:hAnsi="Arial" w:cs="Arial"/>
          <w:sz w:val="22"/>
          <w:szCs w:val="22"/>
        </w:rPr>
        <w:t xml:space="preserve"> with slight adjustments. </w:t>
      </w:r>
      <w:r>
        <w:rPr>
          <w:rFonts w:ascii="Arial" w:hAnsi="Arial" w:cs="Arial"/>
          <w:sz w:val="22"/>
          <w:szCs w:val="22"/>
        </w:rPr>
        <w:t>M</w:t>
      </w:r>
      <w:r w:rsidRPr="001C55B3">
        <w:rPr>
          <w:rFonts w:ascii="Arial" w:hAnsi="Arial" w:cs="Arial"/>
          <w:sz w:val="22"/>
          <w:szCs w:val="22"/>
        </w:rPr>
        <w:t xml:space="preserve">ax-projections were generated from the image stacks, followed by noise reduction using Noise2Void </w:t>
      </w:r>
      <w:r>
        <w:rPr>
          <w:rFonts w:ascii="Arial" w:hAnsi="Arial" w:cs="Arial"/>
          <w:sz w:val="22"/>
          <w:szCs w:val="22"/>
        </w:rPr>
        <w:fldChar w:fldCharType="begin"/>
      </w:r>
      <w:r>
        <w:rPr>
          <w:rFonts w:ascii="Arial" w:hAnsi="Arial" w:cs="Arial"/>
          <w:sz w:val="22"/>
          <w:szCs w:val="22"/>
        </w:rPr>
        <w:instrText xml:space="preserve"> ADDIN ZOTERO_ITEM CSL_CITATION {"citationID":"DnvuoV5O","properties":{"formattedCitation":"(Krull et al. 2018)","plainCitation":"(Krull et al. 2018)","noteIndex":0},"citationItems":[{"id":944,"uris":["http://zotero.org/users/11895209/items/XFYJPVPQ"],"itemData":{"id":944,"type":"article","abstract":"The field of image denoising is currently dominated by discriminative deep learning methods that are trained on pairs of noisy input and clean target images. Recently it has been shown that such methods can also be trained without clean targets. Instead, independent pairs of noisy images can be used, in an approach known as Noise2Noise (N2N). Here, we introduce Noise2Void (N2V), a training scheme that takes this idea one step further. It does not require noisy image pairs, nor clean target images. Consequently, N2V allows us to train directly on the body of data to be denoised and can therefore be applied when other methods cannot. Especially interesting is the application to biomedical image data, where the acquisition of training targets, clean or noisy, is frequently not possible. We compare the performance of N2V to approaches that have either clean target images and/or noisy image pairs available. Intuitively, N2V cannot be expected to outperform methods that have more information available during training. Still, we observe that the denoising performance of Noise2Void drops in moderation and compares favorably to training-free denoising methods.","DOI":"10.48550/ARXIV.1811.10980","license":"arXiv.org perpetual, non-exclusive license","note":"version: 2","publisher":"arXiv","source":"DOI.org (Datacite)","title":"Noise2Void - Learning Denoising from Single Noisy Images","URL":"https://arxiv.org/abs/1811.10980","author":[{"family":"Krull","given":"Alexander"},{"family":"Buchholz","given":"Tim-Oliver"},{"family":"Jug","given":"Florian"}],"accessed":{"date-parts":[["2026",1,6]]},"issued":{"date-parts":[["2018"]]}}}],"schema":"https://github.com/citation-style-language/schema/raw/master/csl-citation.json"} </w:instrText>
      </w:r>
      <w:r>
        <w:rPr>
          <w:rFonts w:ascii="Arial" w:hAnsi="Arial" w:cs="Arial"/>
          <w:sz w:val="22"/>
          <w:szCs w:val="22"/>
        </w:rPr>
        <w:fldChar w:fldCharType="separate"/>
      </w:r>
      <w:r>
        <w:rPr>
          <w:rFonts w:ascii="Arial" w:hAnsi="Arial" w:cs="Arial"/>
          <w:noProof/>
          <w:sz w:val="22"/>
          <w:szCs w:val="22"/>
        </w:rPr>
        <w:t>(Krull et al. 2018)</w:t>
      </w:r>
      <w:r>
        <w:rPr>
          <w:rFonts w:ascii="Arial" w:hAnsi="Arial" w:cs="Arial"/>
          <w:sz w:val="22"/>
          <w:szCs w:val="22"/>
        </w:rPr>
        <w:fldChar w:fldCharType="end"/>
      </w:r>
      <w:r w:rsidRPr="001C55B3">
        <w:rPr>
          <w:rFonts w:ascii="Arial" w:hAnsi="Arial" w:cs="Arial"/>
          <w:sz w:val="22"/>
          <w:szCs w:val="22"/>
        </w:rPr>
        <w:t xml:space="preserve">. Subsequently, background subtraction, correction for channel shift and bleed-through, and registration of images across all sequencing cycles were applied. Cell segmentation was performed using Cellpose </w:t>
      </w:r>
      <w:r>
        <w:rPr>
          <w:rFonts w:ascii="Arial" w:hAnsi="Arial" w:cs="Arial"/>
          <w:sz w:val="22"/>
          <w:szCs w:val="22"/>
        </w:rPr>
        <w:fldChar w:fldCharType="begin"/>
      </w:r>
      <w:r>
        <w:rPr>
          <w:rFonts w:ascii="Arial" w:hAnsi="Arial" w:cs="Arial"/>
          <w:sz w:val="22"/>
          <w:szCs w:val="22"/>
        </w:rPr>
        <w:instrText xml:space="preserve"> ADDIN ZOTERO_ITEM CSL_CITATION {"citationID":"zCJ2YoKk","properties":{"formattedCitation":"(Stringer et al. 2021)","plainCitation":"(Stringer et al. 2021)","noteIndex":0},"citationItems":[{"id":946,"uris":["http://zotero.org/users/11895209/items/WIIVEXPC"],"itemData":{"id":946,"type":"article-journal","container-title":"Nature Methods","DOI":"10.1038/s41592-020-01018-x","ISSN":"1548-7091, 1548-7105","issue":"1","journalAbbreviation":"Nat Methods","language":"en","page":"100-106","source":"DOI.org (Crossref)","title":"Cellpose: a generalist algorithm for cellular segmentation","title-short":"Cellpose","volume":"18","author":[{"family":"Stringer","given":"Carsen"},{"family":"Wang","given":"Tim"},{"family":"Michaelos","given":"Michalis"},{"family":"Pachitariu","given":"Marius"}],"issued":{"date-parts":[["2021",1]]}}}],"schema":"https://github.com/citation-style-language/schema/raw/master/csl-citation.json"} </w:instrText>
      </w:r>
      <w:r>
        <w:rPr>
          <w:rFonts w:ascii="Arial" w:hAnsi="Arial" w:cs="Arial"/>
          <w:sz w:val="22"/>
          <w:szCs w:val="22"/>
        </w:rPr>
        <w:fldChar w:fldCharType="separate"/>
      </w:r>
      <w:r>
        <w:rPr>
          <w:rFonts w:ascii="Arial" w:hAnsi="Arial" w:cs="Arial"/>
          <w:noProof/>
          <w:sz w:val="22"/>
          <w:szCs w:val="22"/>
        </w:rPr>
        <w:t>(Stringer et al. 2021)</w:t>
      </w:r>
      <w:r>
        <w:rPr>
          <w:rFonts w:ascii="Arial" w:hAnsi="Arial" w:cs="Arial"/>
          <w:sz w:val="22"/>
          <w:szCs w:val="22"/>
        </w:rPr>
        <w:fldChar w:fldCharType="end"/>
      </w:r>
      <w:r w:rsidRPr="001C55B3">
        <w:rPr>
          <w:rFonts w:ascii="Arial" w:hAnsi="Arial" w:cs="Arial"/>
          <w:sz w:val="22"/>
          <w:szCs w:val="22"/>
        </w:rPr>
        <w:t xml:space="preserve">, while rolonies were decoded using BarDensr </w:t>
      </w:r>
      <w:r>
        <w:rPr>
          <w:rFonts w:ascii="Arial" w:hAnsi="Arial" w:cs="Arial"/>
          <w:sz w:val="22"/>
          <w:szCs w:val="22"/>
        </w:rPr>
        <w:fldChar w:fldCharType="begin"/>
      </w:r>
      <w:r>
        <w:rPr>
          <w:rFonts w:ascii="Arial" w:hAnsi="Arial" w:cs="Arial"/>
          <w:sz w:val="22"/>
          <w:szCs w:val="22"/>
        </w:rPr>
        <w:instrText xml:space="preserve"> ADDIN ZOTERO_ITEM CSL_CITATION {"citationID":"eaL5vQAL","properties":{"formattedCitation":"(Chen et al. 2021)","plainCitation":"(Chen et al. 2021)","noteIndex":0},"citationItems":[{"id":948,"uris":["http://zotero.org/users/11895209/items/A6XLMEKU"],"itemData":{"id":948,"type":"article-journal","abstract":"Modern spatial transcriptomics methods can target thousands of different types of RNA transcripts in a single slice of tissue. Many biological applications demand a high spatial density of transcripts relative to the imaging resolution, leading to partial mixing of transcript rolonies in many voxels; unfortunately, current analysis methods do not perform robustly in this highly-mixed setting. Here we develop a new analysis approach,\n              BARcode DEmixing through Non-negative Spatial Regression\n              (BarDensr): we start with a generative model of the physical process that leads to the observed image data and then apply sparse convex optimization methods to estimate the underlying (demixed) rolony densities. We apply BarDensr to simulated and real data and find that it achieves state of the art signal recovery, particularly in densely-labeled regions or data with low spatial resolution. Finally, BarDensr is fast and parallelizable. We provide open-source code as well as an implementation for the ‘NeuroCAAS’ cloud platform.","container-title":"PLOS Computational Biology","DOI":"10.1371/journal.pcbi.1008256","ISSN":"1553-7358","issue":"3","journalAbbreviation":"PLoS Comput Biol","language":"en","page":"e1008256","source":"DOI.org (Crossref)","title":"BARcode DEmixing through Non-negative Spatial Regression (BarDensr)","volume":"17","author":[{"family":"Chen","given":"Shuonan"},{"family":"Loper","given":"Jackson"},{"family":"Chen","given":"Xiaoyin"},{"family":"Vaughan","given":"Alex"},{"family":"Zador","given":"Anthony M."},{"family":"Paninski","given":"Liam"}],"editor":[{"family":"Robinson","given":"Emma Claire"}],"issued":{"date-parts":[["2021",3,8]]}}}],"schema":"https://github.com/citation-style-language/schema/raw/master/csl-citation.json"} </w:instrText>
      </w:r>
      <w:r>
        <w:rPr>
          <w:rFonts w:ascii="Arial" w:hAnsi="Arial" w:cs="Arial"/>
          <w:sz w:val="22"/>
          <w:szCs w:val="22"/>
        </w:rPr>
        <w:fldChar w:fldCharType="separate"/>
      </w:r>
      <w:r>
        <w:rPr>
          <w:rFonts w:ascii="Arial" w:hAnsi="Arial" w:cs="Arial"/>
          <w:noProof/>
          <w:sz w:val="22"/>
          <w:szCs w:val="22"/>
        </w:rPr>
        <w:t>(Chen et al. 2021)</w:t>
      </w:r>
      <w:r>
        <w:rPr>
          <w:rFonts w:ascii="Arial" w:hAnsi="Arial" w:cs="Arial"/>
          <w:sz w:val="22"/>
          <w:szCs w:val="22"/>
        </w:rPr>
        <w:fldChar w:fldCharType="end"/>
      </w:r>
      <w:r w:rsidRPr="001C55B3">
        <w:rPr>
          <w:rFonts w:ascii="Arial" w:hAnsi="Arial" w:cs="Arial"/>
          <w:sz w:val="22"/>
          <w:szCs w:val="22"/>
        </w:rPr>
        <w:t>, and then assigned to cells.</w:t>
      </w:r>
    </w:p>
    <w:p w14:paraId="6B9D4151" w14:textId="77777777" w:rsidR="003618EC" w:rsidRPr="001C55B3" w:rsidRDefault="003618EC" w:rsidP="003618EC">
      <w:pPr>
        <w:pStyle w:val="NormalWeb"/>
        <w:spacing w:after="240"/>
        <w:rPr>
          <w:rFonts w:ascii="Arial" w:hAnsi="Arial" w:cs="Arial"/>
          <w:sz w:val="22"/>
          <w:szCs w:val="22"/>
        </w:rPr>
      </w:pPr>
      <w:r w:rsidRPr="001C55B3">
        <w:rPr>
          <w:rFonts w:ascii="Arial" w:hAnsi="Arial" w:cs="Arial"/>
          <w:sz w:val="22"/>
          <w:szCs w:val="22"/>
        </w:rPr>
        <w:t>During BarDensr decoding, negative control GIIs (GIIs not associated with any padlock probe) were utilized to estimate the false discovery rate (FDR), with the decoding threshold automatically adjusted to target approximately 5% FDR. Whole-slice images were generated by stitching individual imaging fields of view (FOV). Processing steps were applied separately to each FOV to prevent stitching errors, minimize alignment artifacts, and facilitate parallel processing. Stitched images were solely used to generate a transformation, applied to each rolony and cell after completing all other steps.</w:t>
      </w:r>
    </w:p>
    <w:p w14:paraId="0ADFA522" w14:textId="77777777" w:rsidR="003618EC" w:rsidRPr="001C55B3" w:rsidRDefault="003618EC" w:rsidP="003618EC">
      <w:pPr>
        <w:pStyle w:val="NormalWeb"/>
        <w:spacing w:after="240"/>
        <w:rPr>
          <w:rFonts w:ascii="Arial" w:hAnsi="Arial" w:cs="Arial"/>
          <w:sz w:val="22"/>
          <w:szCs w:val="22"/>
        </w:rPr>
      </w:pPr>
      <w:r w:rsidRPr="001C55B3">
        <w:rPr>
          <w:rFonts w:ascii="Arial" w:hAnsi="Arial" w:cs="Arial"/>
          <w:sz w:val="22"/>
          <w:szCs w:val="22"/>
        </w:rPr>
        <w:t>Overlapping cells from neighboring FOVs were identified using a custom implementation of sort and sweep</w:t>
      </w:r>
      <w:r>
        <w:rPr>
          <w:rFonts w:ascii="Arial" w:hAnsi="Arial" w:cs="Arial"/>
          <w:sz w:val="22"/>
          <w:szCs w:val="22"/>
        </w:rPr>
        <w:t xml:space="preserve"> </w:t>
      </w:r>
      <w:r w:rsidRPr="001C55B3">
        <w:rPr>
          <w:rFonts w:ascii="Arial" w:hAnsi="Arial" w:cs="Arial"/>
          <w:sz w:val="22"/>
          <w:szCs w:val="22"/>
        </w:rPr>
        <w:t>collision detection algorithm</w:t>
      </w:r>
      <w:r>
        <w:rPr>
          <w:rFonts w:ascii="Arial" w:hAnsi="Arial" w:cs="Arial"/>
          <w:sz w:val="22"/>
          <w:szCs w:val="22"/>
        </w:rPr>
        <w:t xml:space="preserve"> </w:t>
      </w:r>
      <w:r>
        <w:rPr>
          <w:rFonts w:ascii="Arial" w:hAnsi="Arial" w:cs="Arial"/>
          <w:sz w:val="22"/>
          <w:szCs w:val="22"/>
        </w:rPr>
        <w:fldChar w:fldCharType="begin"/>
      </w:r>
      <w:r>
        <w:rPr>
          <w:rFonts w:ascii="Arial" w:hAnsi="Arial" w:cs="Arial"/>
          <w:sz w:val="22"/>
          <w:szCs w:val="22"/>
        </w:rPr>
        <w:instrText xml:space="preserve"> ADDIN ZOTERO_ITEM CSL_CITATION {"citationID":"tnWg5gLB","properties":{"formattedCitation":"(Baraff and Witkin 1992)","plainCitation":"(Baraff and Witkin 1992)","noteIndex":0},"citationItems":[{"id":950,"uris":["http://zotero.org/users/11895209/items/NEZIBCTK"],"itemData":{"id":950,"type":"article-journal","container-title":"ACM SIGGRAPH Computer Graphics","DOI":"10.1145/142920.134084","ISSN":"0097-8930","issue":"2","journalAbbreviation":"SIGGRAPH Comput. Graph.","language":"en","page":"303-308","source":"DOI.org (Crossref)","title":"Dynamic simulation of non-penetrating flexible bodies","volume":"26","author":[{"family":"Baraff","given":"David"},{"family":"Witkin","given":"Andrew"}],"issued":{"date-parts":[["1992",7]]}}}],"schema":"https://github.com/citation-style-language/schema/raw/master/csl-citation.json"} </w:instrText>
      </w:r>
      <w:r>
        <w:rPr>
          <w:rFonts w:ascii="Arial" w:hAnsi="Arial" w:cs="Arial"/>
          <w:sz w:val="22"/>
          <w:szCs w:val="22"/>
        </w:rPr>
        <w:fldChar w:fldCharType="separate"/>
      </w:r>
      <w:r>
        <w:rPr>
          <w:rFonts w:ascii="Arial" w:hAnsi="Arial" w:cs="Arial"/>
          <w:noProof/>
          <w:sz w:val="22"/>
          <w:szCs w:val="22"/>
        </w:rPr>
        <w:t>(Baraff and Witkin 1992)</w:t>
      </w:r>
      <w:r>
        <w:rPr>
          <w:rFonts w:ascii="Arial" w:hAnsi="Arial" w:cs="Arial"/>
          <w:sz w:val="22"/>
          <w:szCs w:val="22"/>
        </w:rPr>
        <w:fldChar w:fldCharType="end"/>
      </w:r>
      <w:r w:rsidRPr="001C55B3">
        <w:rPr>
          <w:rFonts w:ascii="Arial" w:hAnsi="Arial" w:cs="Arial"/>
          <w:sz w:val="22"/>
          <w:szCs w:val="22"/>
        </w:rPr>
        <w:t>. In cases where two or more cells overlapped, cells with higher read counts (indicating higher read quality) were retained</w:t>
      </w:r>
      <w:r>
        <w:rPr>
          <w:rFonts w:ascii="Arial" w:hAnsi="Arial" w:cs="Arial"/>
          <w:sz w:val="22"/>
          <w:szCs w:val="22"/>
        </w:rPr>
        <w:t>.</w:t>
      </w:r>
    </w:p>
    <w:p w14:paraId="40CEC19F" w14:textId="77777777" w:rsidR="003618EC" w:rsidRDefault="003618EC" w:rsidP="003618EC">
      <w:pPr>
        <w:pStyle w:val="NormalWeb"/>
        <w:spacing w:before="0" w:beforeAutospacing="0" w:after="240" w:afterAutospacing="0"/>
        <w:rPr>
          <w:rFonts w:ascii="Arial" w:hAnsi="Arial" w:cs="Arial"/>
          <w:sz w:val="22"/>
          <w:szCs w:val="22"/>
        </w:rPr>
      </w:pPr>
      <w:r w:rsidRPr="001C55B3">
        <w:rPr>
          <w:rFonts w:ascii="Arial" w:hAnsi="Arial" w:cs="Arial"/>
          <w:sz w:val="22"/>
          <w:szCs w:val="22"/>
        </w:rPr>
        <w:t>Each stitched slice was registered to Allen CCFv3</w:t>
      </w:r>
      <w:r>
        <w:rPr>
          <w:rFonts w:ascii="Arial" w:hAnsi="Arial" w:cs="Arial"/>
          <w:sz w:val="22"/>
          <w:szCs w:val="22"/>
        </w:rPr>
        <w:t xml:space="preserve"> using manual registration</w:t>
      </w:r>
      <w:r w:rsidRPr="001C55B3">
        <w:rPr>
          <w:rFonts w:ascii="Arial" w:hAnsi="Arial" w:cs="Arial"/>
          <w:sz w:val="22"/>
          <w:szCs w:val="22"/>
        </w:rPr>
        <w:t xml:space="preserve">. QuickNii (v.3 2017) was </w:t>
      </w:r>
      <w:r>
        <w:rPr>
          <w:rFonts w:ascii="Arial" w:hAnsi="Arial" w:cs="Arial"/>
          <w:sz w:val="22"/>
          <w:szCs w:val="22"/>
        </w:rPr>
        <w:t xml:space="preserve">used </w:t>
      </w:r>
      <w:r w:rsidRPr="001C55B3">
        <w:rPr>
          <w:rFonts w:ascii="Arial" w:hAnsi="Arial" w:cs="Arial"/>
          <w:sz w:val="22"/>
          <w:szCs w:val="22"/>
        </w:rPr>
        <w:t>to manually select the CCF plane for each slice, followed by alignment of area borders within each slice using Visualign (v. 0.9)</w:t>
      </w:r>
      <w:r>
        <w:rPr>
          <w:rFonts w:ascii="Arial" w:hAnsi="Arial" w:cs="Arial"/>
          <w:sz w:val="22"/>
          <w:szCs w:val="22"/>
        </w:rPr>
        <w:t xml:space="preserve"> using nonlinear adjustments to the coronal plates</w:t>
      </w:r>
      <w:r w:rsidRPr="001C55B3">
        <w:rPr>
          <w:rFonts w:ascii="Arial" w:hAnsi="Arial" w:cs="Arial"/>
          <w:sz w:val="22"/>
          <w:szCs w:val="22"/>
        </w:rPr>
        <w:t>.</w:t>
      </w:r>
      <w:r>
        <w:rPr>
          <w:rFonts w:ascii="Arial" w:hAnsi="Arial" w:cs="Arial"/>
          <w:sz w:val="22"/>
          <w:szCs w:val="22"/>
        </w:rPr>
        <w:t xml:space="preserve"> </w:t>
      </w:r>
    </w:p>
    <w:p w14:paraId="4DAC92E6" w14:textId="77777777" w:rsidR="005C57CD" w:rsidRDefault="005C57CD"/>
    <w:sectPr w:rsidR="005C57CD" w:rsidSect="00BB3F2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1356"/>
    <w:rsid w:val="003618EC"/>
    <w:rsid w:val="004B6FBF"/>
    <w:rsid w:val="005C57CD"/>
    <w:rsid w:val="00670631"/>
    <w:rsid w:val="006C50F8"/>
    <w:rsid w:val="00897828"/>
    <w:rsid w:val="00A61356"/>
    <w:rsid w:val="00BB3F20"/>
    <w:rsid w:val="00E47C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5CDCEEE"/>
  <w15:chartTrackingRefBased/>
  <w15:docId w15:val="{DB199CC1-5308-1C47-96F1-5D5D6C43A1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13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613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6135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135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13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13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13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13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13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135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6135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6135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135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135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13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13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13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1356"/>
    <w:rPr>
      <w:rFonts w:eastAsiaTheme="majorEastAsia" w:cstheme="majorBidi"/>
      <w:color w:val="272727" w:themeColor="text1" w:themeTint="D8"/>
    </w:rPr>
  </w:style>
  <w:style w:type="paragraph" w:styleId="Title">
    <w:name w:val="Title"/>
    <w:basedOn w:val="Normal"/>
    <w:next w:val="Normal"/>
    <w:link w:val="TitleChar"/>
    <w:uiPriority w:val="10"/>
    <w:qFormat/>
    <w:rsid w:val="00A613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13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13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13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1356"/>
    <w:pPr>
      <w:spacing w:before="160"/>
      <w:jc w:val="center"/>
    </w:pPr>
    <w:rPr>
      <w:i/>
      <w:iCs/>
      <w:color w:val="404040" w:themeColor="text1" w:themeTint="BF"/>
    </w:rPr>
  </w:style>
  <w:style w:type="character" w:customStyle="1" w:styleId="QuoteChar">
    <w:name w:val="Quote Char"/>
    <w:basedOn w:val="DefaultParagraphFont"/>
    <w:link w:val="Quote"/>
    <w:uiPriority w:val="29"/>
    <w:rsid w:val="00A61356"/>
    <w:rPr>
      <w:i/>
      <w:iCs/>
      <w:color w:val="404040" w:themeColor="text1" w:themeTint="BF"/>
    </w:rPr>
  </w:style>
  <w:style w:type="paragraph" w:styleId="ListParagraph">
    <w:name w:val="List Paragraph"/>
    <w:basedOn w:val="Normal"/>
    <w:uiPriority w:val="34"/>
    <w:qFormat/>
    <w:rsid w:val="00A61356"/>
    <w:pPr>
      <w:ind w:left="720"/>
      <w:contextualSpacing/>
    </w:pPr>
  </w:style>
  <w:style w:type="character" w:styleId="IntenseEmphasis">
    <w:name w:val="Intense Emphasis"/>
    <w:basedOn w:val="DefaultParagraphFont"/>
    <w:uiPriority w:val="21"/>
    <w:qFormat/>
    <w:rsid w:val="00A61356"/>
    <w:rPr>
      <w:i/>
      <w:iCs/>
      <w:color w:val="0F4761" w:themeColor="accent1" w:themeShade="BF"/>
    </w:rPr>
  </w:style>
  <w:style w:type="paragraph" w:styleId="IntenseQuote">
    <w:name w:val="Intense Quote"/>
    <w:basedOn w:val="Normal"/>
    <w:next w:val="Normal"/>
    <w:link w:val="IntenseQuoteChar"/>
    <w:uiPriority w:val="30"/>
    <w:qFormat/>
    <w:rsid w:val="00A613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1356"/>
    <w:rPr>
      <w:i/>
      <w:iCs/>
      <w:color w:val="0F4761" w:themeColor="accent1" w:themeShade="BF"/>
    </w:rPr>
  </w:style>
  <w:style w:type="character" w:styleId="IntenseReference">
    <w:name w:val="Intense Reference"/>
    <w:basedOn w:val="DefaultParagraphFont"/>
    <w:uiPriority w:val="32"/>
    <w:qFormat/>
    <w:rsid w:val="00A61356"/>
    <w:rPr>
      <w:b/>
      <w:bCs/>
      <w:smallCaps/>
      <w:color w:val="0F4761" w:themeColor="accent1" w:themeShade="BF"/>
      <w:spacing w:val="5"/>
    </w:rPr>
  </w:style>
  <w:style w:type="paragraph" w:styleId="NormalWeb">
    <w:name w:val="Normal (Web)"/>
    <w:basedOn w:val="Normal"/>
    <w:uiPriority w:val="99"/>
    <w:unhideWhenUsed/>
    <w:rsid w:val="003618E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3618E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file:///Users/polina.kosillo/Downloads/(http:/dx.doi.org/10.17504/protocols.io.81wgbp4j3vpk/v2)"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dx.doi.org/10.17504/protocols.io.n2bvj82q5gk5/v1" TargetMode="External"/><Relationship Id="rId5" Type="http://schemas.openxmlformats.org/officeDocument/2006/relationships/hyperlink" Target="https://github.com/ZadorLaboratory/mapseq-processing" TargetMode="External"/><Relationship Id="rId4" Type="http://schemas.openxmlformats.org/officeDocument/2006/relationships/hyperlink" Target="https://dx.doi.org/10.17504/protocols.io.bsm9nc96"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7192</Words>
  <Characters>42798</Characters>
  <Application>Microsoft Office Word</Application>
  <DocSecurity>0</DocSecurity>
  <Lines>602</Lines>
  <Paragraphs>147</Paragraphs>
  <ScaleCrop>false</ScaleCrop>
  <Company/>
  <LinksUpToDate>false</LinksUpToDate>
  <CharactersWithSpaces>49843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Polina Kosillo</dc:creator>
  <cp:keywords/>
  <dc:description/>
  <cp:lastModifiedBy>Polina Kosillo</cp:lastModifiedBy>
  <cp:revision>2</cp:revision>
  <dcterms:created xsi:type="dcterms:W3CDTF">2026-01-12T22:22:00Z</dcterms:created>
  <dcterms:modified xsi:type="dcterms:W3CDTF">2026-01-12T22:24:00Z</dcterms:modified>
</cp:coreProperties>
</file>