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FA44" w14:textId="77777777" w:rsidR="00B93734" w:rsidRPr="00B93734" w:rsidRDefault="00B93734" w:rsidP="00B93734">
      <w:pPr>
        <w:shd w:val="clear" w:color="auto" w:fill="FFFFFF"/>
        <w:spacing w:after="300" w:line="540" w:lineRule="atLeast"/>
        <w:outlineLvl w:val="0"/>
        <w:rPr>
          <w:rFonts w:ascii="Arial" w:hAnsi="Arial" w:cs="Arial"/>
          <w:color w:val="1F1F1F"/>
          <w:kern w:val="36"/>
          <w:sz w:val="48"/>
          <w:szCs w:val="48"/>
        </w:rPr>
      </w:pPr>
      <w:r w:rsidRPr="00B93734">
        <w:rPr>
          <w:rFonts w:ascii="Arial" w:hAnsi="Arial" w:cs="Arial"/>
          <w:color w:val="1F1F1F"/>
          <w:kern w:val="36"/>
          <w:sz w:val="48"/>
          <w:szCs w:val="48"/>
        </w:rPr>
        <w:t>Multiple Features</w:t>
      </w:r>
    </w:p>
    <w:p w14:paraId="2085A71C" w14:textId="77777777" w:rsidR="00B93734" w:rsidRDefault="00B93734" w:rsidP="00B9373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multivariable form of the hypothesis function accommodating these multiple features is as follows:</w:t>
      </w:r>
    </w:p>
    <w:p w14:paraId="42689ECF" w14:textId="77777777" w:rsidR="00B93734" w:rsidRDefault="00B93734" w:rsidP="00B9373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STIXGeneral-Italic" w:hAnsi="STIXGeneral-Italic" w:cs="STIXGeneral-Italic"/>
          <w:color w:val="1F1F1F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)=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3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+⋯+</w:t>
      </w:r>
      <w:proofErr w:type="spellStart"/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STIXGeneral-Italic" w:hAnsi="STIXGeneral-Italic" w:cs="STIXGeneral-Italic"/>
          <w:color w:val="1F1F1F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STIXGeneral-Italic" w:hAnsi="STIXGeneral-Italic" w:cs="STIXGeneral-Italic"/>
          <w:color w:val="1F1F1F"/>
          <w:sz w:val="18"/>
          <w:szCs w:val="18"/>
          <w:bdr w:val="none" w:sz="0" w:space="0" w:color="auto" w:frame="1"/>
        </w:rPr>
        <w:t>n</w:t>
      </w:r>
      <w:proofErr w:type="spellEnd"/>
    </w:p>
    <w:p w14:paraId="42A14989" w14:textId="6A8D9B84" w:rsidR="00B93734" w:rsidRDefault="00B93734" w:rsidP="00B9373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order to develop intuition about this function, we can think about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as the basic price of a house,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as the price per square meter,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as the price per floor, etc.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will be the number of square meters in the house,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the number of floors, etc.</w:t>
      </w:r>
    </w:p>
    <w:p w14:paraId="408EDA8C" w14:textId="77777777" w:rsidR="00B93734" w:rsidRDefault="00B93734" w:rsidP="00B9373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Using the definition of matrix multiplication, our multivariable hypothesis function can be concisely represented as:</w:t>
      </w:r>
    </w:p>
    <w:p w14:paraId="04082BE5" w14:textId="48AE709C" w:rsidR="00B93734" w:rsidRDefault="00B93734" w:rsidP="000B2E0D">
      <w:pPr>
        <w:jc w:val="center"/>
      </w:pPr>
      <w:r w:rsidRPr="00B93734">
        <w:drawing>
          <wp:inline distT="0" distB="0" distL="0" distR="0" wp14:anchorId="53F77B95" wp14:editId="233E7E90">
            <wp:extent cx="3432748" cy="8200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4116" cy="8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3300" w14:textId="77777777" w:rsidR="000B2E0D" w:rsidRPr="000B2E0D" w:rsidRDefault="000B2E0D" w:rsidP="000B2E0D">
      <w:pPr>
        <w:shd w:val="clear" w:color="auto" w:fill="FFFFFF"/>
        <w:spacing w:before="540" w:after="240" w:line="360" w:lineRule="atLeast"/>
        <w:outlineLvl w:val="1"/>
        <w:rPr>
          <w:rFonts w:ascii="Arial" w:hAnsi="Arial" w:cs="Arial"/>
          <w:color w:val="1F1F1F"/>
          <w:sz w:val="33"/>
          <w:szCs w:val="33"/>
        </w:rPr>
      </w:pPr>
      <w:r w:rsidRPr="000B2E0D">
        <w:rPr>
          <w:rFonts w:ascii="Arial" w:hAnsi="Arial" w:cs="Arial"/>
          <w:b/>
          <w:bCs/>
          <w:color w:val="1F1F1F"/>
          <w:sz w:val="33"/>
          <w:szCs w:val="33"/>
        </w:rPr>
        <w:t>Gradient Descent for Multiple Variables</w:t>
      </w:r>
    </w:p>
    <w:p w14:paraId="039377FF" w14:textId="77777777" w:rsidR="000B2E0D" w:rsidRPr="000B2E0D" w:rsidRDefault="000B2E0D" w:rsidP="000B2E0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0B2E0D">
        <w:rPr>
          <w:rFonts w:ascii="Arial" w:hAnsi="Arial" w:cs="Arial"/>
          <w:color w:val="1F1F1F"/>
          <w:sz w:val="21"/>
          <w:szCs w:val="21"/>
        </w:rPr>
        <w:t>The gradient descent equation itself is generally the same form; we just have to repeat it for our 'n' features:</w:t>
      </w:r>
    </w:p>
    <w:p w14:paraId="4B6F21D1" w14:textId="77777777" w:rsidR="000B2E0D" w:rsidRPr="000B2E0D" w:rsidRDefault="000B2E0D" w:rsidP="000B2E0D"/>
    <w:p w14:paraId="6722FC7E" w14:textId="2F8A1A61" w:rsidR="000B2E0D" w:rsidRDefault="000B2E0D" w:rsidP="000B2E0D">
      <w:pPr>
        <w:jc w:val="center"/>
      </w:pPr>
      <w:r w:rsidRPr="000B2E0D">
        <w:drawing>
          <wp:inline distT="0" distB="0" distL="0" distR="0" wp14:anchorId="5D238341" wp14:editId="7416690E">
            <wp:extent cx="3290341" cy="2463186"/>
            <wp:effectExtent l="0" t="0" r="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773" cy="24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BA54" w14:textId="510F3CA2" w:rsidR="000B2E0D" w:rsidRDefault="000B2E0D" w:rsidP="000B2E0D">
      <w:pPr>
        <w:jc w:val="center"/>
      </w:pPr>
      <w:r w:rsidRPr="000B2E0D">
        <w:lastRenderedPageBreak/>
        <w:drawing>
          <wp:inline distT="0" distB="0" distL="0" distR="0" wp14:anchorId="2DE2DAE5" wp14:editId="7A44C0F8">
            <wp:extent cx="3793166" cy="912224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537" cy="9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4BCF" w14:textId="7ED351AC" w:rsidR="00855C94" w:rsidRDefault="00855C94" w:rsidP="00855C94"/>
    <w:p w14:paraId="0BF12A66" w14:textId="200AEC76" w:rsidR="00855C94" w:rsidRPr="00855C94" w:rsidRDefault="00855C94" w:rsidP="00855C9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Gradient Descent in Practice I - Feature Scaling</w:t>
      </w:r>
    </w:p>
    <w:p w14:paraId="78054FCD" w14:textId="77777777" w:rsidR="00855C94" w:rsidRDefault="00855C94" w:rsidP="00855C9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feature scaling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mean normalization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14:paraId="19395F9A" w14:textId="468279B2" w:rsidR="00855C94" w:rsidRDefault="00855C94" w:rsidP="00855C94">
      <w:pPr>
        <w:jc w:val="center"/>
      </w:pPr>
      <w:r w:rsidRPr="00855C94">
        <w:drawing>
          <wp:inline distT="0" distB="0" distL="0" distR="0" wp14:anchorId="2C19FF8F" wp14:editId="29EB64B0">
            <wp:extent cx="1798820" cy="903673"/>
            <wp:effectExtent l="0" t="0" r="5080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185" cy="9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53D" w14:textId="63E40F0D" w:rsidR="00855C94" w:rsidRDefault="00855C94" w:rsidP="00855C9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Where </w:t>
      </w:r>
      <w:proofErr w:type="spellStart"/>
      <w:r>
        <w:rPr>
          <w:rStyle w:val="mo"/>
          <w:rFonts w:ascii="STIXGeneral-Regular" w:hAnsi="STIXGeneral-Regular" w:cs="STIXGeneral-Regular"/>
          <w:color w:val="1F1F1F"/>
          <w:sz w:val="26"/>
          <w:szCs w:val="26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STIXGeneral-Italic" w:eastAsiaTheme="majorEastAsia" w:hAnsi="STIXGeneral-Italic" w:cs="STIXGeneral-Italic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average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of all the values for feature (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) and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  <w:shd w:val="clear" w:color="auto" w:fill="FFFFFF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  <w:shd w:val="clear" w:color="auto" w:fill="FFFFFF"/>
        </w:rPr>
        <w:t>i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is the range of values (max - min), or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  <w:shd w:val="clear" w:color="auto" w:fill="FFFFFF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  <w:shd w:val="clear" w:color="auto" w:fill="FFFFFF"/>
        </w:rPr>
        <w:t>i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is the standard deviation.</w:t>
      </w:r>
    </w:p>
    <w:p w14:paraId="16837FA1" w14:textId="1A4CFF5C" w:rsidR="00855C94" w:rsidRDefault="00855C94" w:rsidP="00855C94"/>
    <w:p w14:paraId="16ED3E52" w14:textId="0218F213" w:rsidR="001E2B2A" w:rsidRDefault="001E2B2A" w:rsidP="001E2B2A">
      <w:pPr>
        <w:jc w:val="center"/>
      </w:pPr>
      <w:r w:rsidRPr="001E2B2A">
        <w:drawing>
          <wp:inline distT="0" distB="0" distL="0" distR="0" wp14:anchorId="006055FF" wp14:editId="2E1D3347">
            <wp:extent cx="4699416" cy="2601749"/>
            <wp:effectExtent l="0" t="0" r="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881" cy="26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E443" w14:textId="77777777" w:rsidR="004D0FC7" w:rsidRDefault="004D0FC7" w:rsidP="004D0FC7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Polynomial Regression</w:t>
      </w:r>
    </w:p>
    <w:p w14:paraId="15C3A859" w14:textId="77777777" w:rsidR="004D0FC7" w:rsidRDefault="004D0FC7" w:rsidP="004D0FC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14:paraId="0E1E0E5D" w14:textId="77777777" w:rsidR="004D0FC7" w:rsidRDefault="004D0FC7" w:rsidP="004D0FC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14:paraId="270EBC87" w14:textId="77777777" w:rsidR="004D0FC7" w:rsidRDefault="004D0FC7" w:rsidP="004D0FC7"/>
    <w:p w14:paraId="120B819F" w14:textId="2B986FF2" w:rsidR="004D0FC7" w:rsidRDefault="004D0FC7" w:rsidP="004D0FC7">
      <w:r w:rsidRPr="004D0FC7">
        <w:drawing>
          <wp:inline distT="0" distB="0" distL="0" distR="0" wp14:anchorId="5123BC89" wp14:editId="2BA64D66">
            <wp:extent cx="5943600" cy="16389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E5C" w14:textId="5B9571EC" w:rsidR="00931884" w:rsidRDefault="00931884" w:rsidP="004D0FC7"/>
    <w:p w14:paraId="74DBCC45" w14:textId="77777777" w:rsidR="00931884" w:rsidRDefault="00931884" w:rsidP="0093188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Normal Equation</w:t>
      </w:r>
    </w:p>
    <w:p w14:paraId="641780F1" w14:textId="77777777" w:rsidR="00931884" w:rsidRDefault="00931884" w:rsidP="0093188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θj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’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s, and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setting them to zero. This allows us to find the optimum theta without iteration. The normal equation formula is given below:</w:t>
      </w:r>
    </w:p>
    <w:p w14:paraId="30EA8458" w14:textId="691C546F" w:rsidR="00931884" w:rsidRDefault="00931884" w:rsidP="00931884">
      <w:pPr>
        <w:jc w:val="center"/>
      </w:pPr>
      <w:r w:rsidRPr="00931884">
        <w:drawing>
          <wp:inline distT="0" distB="0" distL="0" distR="0" wp14:anchorId="2D0A0B59" wp14:editId="632587E6">
            <wp:extent cx="1813205" cy="519295"/>
            <wp:effectExtent l="0" t="0" r="3175" b="1905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265" cy="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FB8A" w14:textId="0FDC52A9" w:rsidR="00A31EA9" w:rsidRDefault="00A31EA9" w:rsidP="00A31EA9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following is a comparison of gradient descent and the normal equation:</w:t>
      </w:r>
      <w:bookmarkStart w:id="0" w:name="_GoBack"/>
      <w:bookmarkEnd w:id="0"/>
    </w:p>
    <w:p w14:paraId="437E8CCE" w14:textId="4B8A3DAB" w:rsidR="00A31EA9" w:rsidRDefault="00A31EA9" w:rsidP="00A31EA9">
      <w:r w:rsidRPr="00A31EA9">
        <w:drawing>
          <wp:inline distT="0" distB="0" distL="0" distR="0" wp14:anchorId="116C9F5E" wp14:editId="33C9E0EC">
            <wp:extent cx="5943600" cy="16770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EA9" w:rsidSect="006C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34"/>
    <w:rsid w:val="000B2E0D"/>
    <w:rsid w:val="001E2B2A"/>
    <w:rsid w:val="004D0FC7"/>
    <w:rsid w:val="006C1E69"/>
    <w:rsid w:val="00855C94"/>
    <w:rsid w:val="008E02FA"/>
    <w:rsid w:val="008E58C3"/>
    <w:rsid w:val="00931884"/>
    <w:rsid w:val="00A31EA9"/>
    <w:rsid w:val="00B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A2D81"/>
  <w15:chartTrackingRefBased/>
  <w15:docId w15:val="{93F6BEF3-8283-4D4C-A49A-B99E0EF1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37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3734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B93734"/>
  </w:style>
  <w:style w:type="character" w:customStyle="1" w:styleId="mo">
    <w:name w:val="mo"/>
    <w:basedOn w:val="DefaultParagraphFont"/>
    <w:rsid w:val="00B93734"/>
  </w:style>
  <w:style w:type="character" w:customStyle="1" w:styleId="mn">
    <w:name w:val="mn"/>
    <w:basedOn w:val="DefaultParagraphFont"/>
    <w:rsid w:val="00B93734"/>
  </w:style>
  <w:style w:type="character" w:customStyle="1" w:styleId="katex-mathml">
    <w:name w:val="katex-mathml"/>
    <w:basedOn w:val="DefaultParagraphFont"/>
    <w:rsid w:val="00B93734"/>
  </w:style>
  <w:style w:type="character" w:customStyle="1" w:styleId="mord">
    <w:name w:val="mord"/>
    <w:basedOn w:val="DefaultParagraphFont"/>
    <w:rsid w:val="00B93734"/>
  </w:style>
  <w:style w:type="character" w:customStyle="1" w:styleId="vlist-s">
    <w:name w:val="vlist-s"/>
    <w:basedOn w:val="DefaultParagraphFont"/>
    <w:rsid w:val="00B93734"/>
  </w:style>
  <w:style w:type="character" w:customStyle="1" w:styleId="Heading2Char">
    <w:name w:val="Heading 2 Char"/>
    <w:basedOn w:val="DefaultParagraphFont"/>
    <w:link w:val="Heading2"/>
    <w:uiPriority w:val="9"/>
    <w:rsid w:val="000B2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B2E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FC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6</cp:revision>
  <dcterms:created xsi:type="dcterms:W3CDTF">2019-12-31T23:00:00Z</dcterms:created>
  <dcterms:modified xsi:type="dcterms:W3CDTF">2020-01-03T01:26:00Z</dcterms:modified>
</cp:coreProperties>
</file>