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5E93" w:rsidRPr="005E3015" w:rsidRDefault="002D3B13" w:rsidP="005E3015">
      <w:pPr>
        <w:jc w:val="both"/>
        <w:rPr>
          <w:rFonts w:ascii="Arial" w:hAnsi="Arial" w:cs="Arial"/>
          <w:b/>
          <w:sz w:val="34"/>
          <w:szCs w:val="34"/>
          <w:lang w:val="en-US"/>
        </w:rPr>
      </w:pPr>
      <w:r w:rsidRPr="005E3015">
        <w:rPr>
          <w:rFonts w:ascii="Arial" w:hAnsi="Arial" w:cs="Arial"/>
          <w:b/>
          <w:sz w:val="34"/>
          <w:szCs w:val="34"/>
          <w:lang w:val="en-US"/>
        </w:rPr>
        <w:t>AquaGuide: An IoT-Based Smart Pond Monitoring System for Optimal Fish Species Recommendation</w:t>
      </w:r>
    </w:p>
    <w:p w:rsidR="002D3B13" w:rsidRDefault="002D3B13" w:rsidP="00956D9A">
      <w:pPr>
        <w:rPr>
          <w:rFonts w:ascii="Arial" w:hAnsi="Arial" w:cs="Arial"/>
          <w:sz w:val="24"/>
          <w:szCs w:val="24"/>
          <w:lang w:val="en-US"/>
        </w:rPr>
      </w:pPr>
    </w:p>
    <w:p w:rsidR="002D3B13" w:rsidRDefault="002D3B13" w:rsidP="00956D9A">
      <w:pPr>
        <w:rPr>
          <w:rFonts w:ascii="Arial" w:hAnsi="Arial" w:cs="Arial"/>
          <w:sz w:val="24"/>
          <w:szCs w:val="24"/>
          <w:lang w:val="en-US"/>
        </w:rPr>
      </w:pPr>
    </w:p>
    <w:p w:rsidR="002D3B13" w:rsidRDefault="002D3B13" w:rsidP="005E3015">
      <w:pPr>
        <w:jc w:val="center"/>
        <w:rPr>
          <w:rFonts w:ascii="Arial" w:hAnsi="Arial" w:cs="Arial"/>
          <w:sz w:val="24"/>
          <w:szCs w:val="24"/>
          <w:lang w:val="en-US"/>
        </w:rPr>
      </w:pPr>
      <w:r>
        <w:rPr>
          <w:rFonts w:ascii="Arial" w:hAnsi="Arial" w:cs="Arial"/>
          <w:sz w:val="24"/>
          <w:szCs w:val="24"/>
          <w:lang w:val="en-US"/>
        </w:rPr>
        <w:t>A Thesis Proposal</w:t>
      </w:r>
    </w:p>
    <w:p w:rsidR="002D3B13" w:rsidRDefault="002D3B13" w:rsidP="005E3015">
      <w:pPr>
        <w:jc w:val="center"/>
        <w:rPr>
          <w:rFonts w:ascii="Arial" w:hAnsi="Arial" w:cs="Arial"/>
          <w:sz w:val="24"/>
          <w:szCs w:val="24"/>
          <w:lang w:val="en-US"/>
        </w:rPr>
      </w:pPr>
      <w:r>
        <w:rPr>
          <w:rFonts w:ascii="Arial" w:hAnsi="Arial" w:cs="Arial"/>
          <w:sz w:val="24"/>
          <w:szCs w:val="24"/>
          <w:lang w:val="en-US"/>
        </w:rPr>
        <w:t>Presented to the Faculty of the College of</w:t>
      </w:r>
    </w:p>
    <w:p w:rsidR="002D3B13" w:rsidRDefault="002D3B13" w:rsidP="005E3015">
      <w:pPr>
        <w:jc w:val="center"/>
        <w:rPr>
          <w:rFonts w:ascii="Arial" w:hAnsi="Arial" w:cs="Arial"/>
          <w:sz w:val="24"/>
          <w:szCs w:val="24"/>
          <w:lang w:val="en-US"/>
        </w:rPr>
      </w:pPr>
      <w:r>
        <w:rPr>
          <w:rFonts w:ascii="Arial" w:hAnsi="Arial" w:cs="Arial"/>
          <w:sz w:val="24"/>
          <w:szCs w:val="24"/>
          <w:lang w:val="en-US"/>
        </w:rPr>
        <w:t>Technology</w:t>
      </w:r>
    </w:p>
    <w:p w:rsidR="002D3B13" w:rsidRDefault="002D3B13" w:rsidP="005E3015">
      <w:pPr>
        <w:jc w:val="center"/>
        <w:rPr>
          <w:rFonts w:ascii="Arial" w:hAnsi="Arial" w:cs="Arial"/>
          <w:sz w:val="24"/>
          <w:szCs w:val="24"/>
          <w:lang w:val="en-US"/>
        </w:rPr>
      </w:pPr>
      <w:r>
        <w:rPr>
          <w:rFonts w:ascii="Arial" w:hAnsi="Arial" w:cs="Arial"/>
          <w:sz w:val="24"/>
          <w:szCs w:val="24"/>
          <w:lang w:val="en-US"/>
        </w:rPr>
        <w:t>BOHOL ISLAND STATE UNIV</w:t>
      </w:r>
      <w:r w:rsidR="005E3015">
        <w:rPr>
          <w:rFonts w:ascii="Arial" w:hAnsi="Arial" w:cs="Arial"/>
          <w:sz w:val="24"/>
          <w:szCs w:val="24"/>
          <w:lang w:val="en-US"/>
        </w:rPr>
        <w:t>E</w:t>
      </w:r>
      <w:r>
        <w:rPr>
          <w:rFonts w:ascii="Arial" w:hAnsi="Arial" w:cs="Arial"/>
          <w:sz w:val="24"/>
          <w:szCs w:val="24"/>
          <w:lang w:val="en-US"/>
        </w:rPr>
        <w:t>RSITY</w:t>
      </w:r>
    </w:p>
    <w:p w:rsidR="004E050F" w:rsidRDefault="002D3B13" w:rsidP="005E3015">
      <w:pPr>
        <w:jc w:val="center"/>
        <w:rPr>
          <w:rFonts w:ascii="Arial" w:hAnsi="Arial" w:cs="Arial"/>
          <w:sz w:val="24"/>
          <w:szCs w:val="24"/>
          <w:lang w:val="en-US"/>
        </w:rPr>
      </w:pPr>
      <w:r>
        <w:rPr>
          <w:rFonts w:ascii="Arial" w:hAnsi="Arial" w:cs="Arial"/>
          <w:sz w:val="24"/>
          <w:szCs w:val="24"/>
          <w:lang w:val="en-US"/>
        </w:rPr>
        <w:t>Zamora, Bilar, Bohol</w:t>
      </w:r>
    </w:p>
    <w:p w:rsidR="004E050F" w:rsidRDefault="004E050F" w:rsidP="005E3015">
      <w:pPr>
        <w:jc w:val="center"/>
        <w:rPr>
          <w:rFonts w:ascii="Arial" w:hAnsi="Arial" w:cs="Arial"/>
          <w:sz w:val="24"/>
          <w:szCs w:val="24"/>
          <w:lang w:val="en-US"/>
        </w:rPr>
      </w:pPr>
    </w:p>
    <w:p w:rsidR="004E050F" w:rsidRDefault="004E050F" w:rsidP="005E3015">
      <w:pPr>
        <w:jc w:val="center"/>
        <w:rPr>
          <w:rFonts w:ascii="Arial" w:hAnsi="Arial" w:cs="Arial"/>
          <w:sz w:val="24"/>
          <w:szCs w:val="24"/>
          <w:lang w:val="en-US"/>
        </w:rPr>
      </w:pPr>
    </w:p>
    <w:p w:rsidR="004E050F" w:rsidRDefault="004E050F" w:rsidP="005E3015">
      <w:pPr>
        <w:jc w:val="center"/>
        <w:rPr>
          <w:rFonts w:ascii="Arial" w:hAnsi="Arial" w:cs="Arial"/>
          <w:sz w:val="24"/>
          <w:szCs w:val="24"/>
          <w:lang w:val="en-US"/>
        </w:rPr>
      </w:pPr>
    </w:p>
    <w:p w:rsidR="004E050F" w:rsidRDefault="004E050F" w:rsidP="005E3015">
      <w:pPr>
        <w:jc w:val="center"/>
        <w:rPr>
          <w:rFonts w:ascii="Arial" w:hAnsi="Arial" w:cs="Arial"/>
          <w:sz w:val="24"/>
          <w:szCs w:val="24"/>
          <w:lang w:val="en-US"/>
        </w:rPr>
      </w:pPr>
    </w:p>
    <w:p w:rsidR="002D3B13" w:rsidRDefault="002D3B13" w:rsidP="005E3015">
      <w:pPr>
        <w:jc w:val="center"/>
        <w:rPr>
          <w:rFonts w:ascii="Arial" w:hAnsi="Arial" w:cs="Arial"/>
          <w:sz w:val="24"/>
          <w:szCs w:val="24"/>
          <w:lang w:val="en-US"/>
        </w:rPr>
      </w:pPr>
    </w:p>
    <w:p w:rsidR="002D3B13" w:rsidRDefault="002D3B13" w:rsidP="005E3015">
      <w:pPr>
        <w:jc w:val="center"/>
        <w:rPr>
          <w:rFonts w:ascii="Arial" w:hAnsi="Arial" w:cs="Arial"/>
          <w:sz w:val="24"/>
          <w:szCs w:val="24"/>
          <w:lang w:val="en-US"/>
        </w:rPr>
      </w:pPr>
      <w:r>
        <w:rPr>
          <w:rFonts w:ascii="Arial" w:hAnsi="Arial" w:cs="Arial"/>
          <w:sz w:val="24"/>
          <w:szCs w:val="24"/>
          <w:lang w:val="en-US"/>
        </w:rPr>
        <w:t>In Partial Fulfillment of the Requirements for the</w:t>
      </w:r>
    </w:p>
    <w:p w:rsidR="002D3B13" w:rsidRDefault="002D3B13" w:rsidP="005E3015">
      <w:pPr>
        <w:jc w:val="center"/>
        <w:rPr>
          <w:rFonts w:ascii="Arial" w:hAnsi="Arial" w:cs="Arial"/>
          <w:sz w:val="24"/>
          <w:szCs w:val="24"/>
          <w:lang w:val="en-US"/>
        </w:rPr>
      </w:pPr>
      <w:r>
        <w:rPr>
          <w:rFonts w:ascii="Arial" w:hAnsi="Arial" w:cs="Arial"/>
          <w:sz w:val="24"/>
          <w:szCs w:val="24"/>
          <w:lang w:val="en-US"/>
        </w:rPr>
        <w:t>Degree of Bachelor of Science in Computer</w:t>
      </w:r>
    </w:p>
    <w:p w:rsidR="002D3B13" w:rsidRDefault="002D3B13" w:rsidP="005E3015">
      <w:pPr>
        <w:jc w:val="center"/>
        <w:rPr>
          <w:rFonts w:ascii="Arial" w:hAnsi="Arial" w:cs="Arial"/>
          <w:sz w:val="24"/>
          <w:szCs w:val="24"/>
          <w:lang w:val="en-US"/>
        </w:rPr>
      </w:pPr>
      <w:r>
        <w:rPr>
          <w:rFonts w:ascii="Arial" w:hAnsi="Arial" w:cs="Arial"/>
          <w:sz w:val="24"/>
          <w:szCs w:val="24"/>
          <w:lang w:val="en-US"/>
        </w:rPr>
        <w:t>Science</w:t>
      </w:r>
    </w:p>
    <w:p w:rsidR="002D3B13" w:rsidRDefault="002D3B13" w:rsidP="005E3015">
      <w:pPr>
        <w:jc w:val="center"/>
        <w:rPr>
          <w:rFonts w:ascii="Arial" w:hAnsi="Arial" w:cs="Arial"/>
          <w:sz w:val="24"/>
          <w:szCs w:val="24"/>
          <w:lang w:val="en-US"/>
        </w:rPr>
      </w:pPr>
    </w:p>
    <w:p w:rsidR="002D3B13" w:rsidRDefault="002D3B13" w:rsidP="005E3015">
      <w:pPr>
        <w:jc w:val="center"/>
        <w:rPr>
          <w:rFonts w:ascii="Arial" w:hAnsi="Arial" w:cs="Arial"/>
          <w:sz w:val="24"/>
          <w:szCs w:val="24"/>
          <w:lang w:val="en-US"/>
        </w:rPr>
      </w:pPr>
    </w:p>
    <w:p w:rsidR="004E050F" w:rsidRDefault="004E050F" w:rsidP="005E3015">
      <w:pPr>
        <w:rPr>
          <w:rFonts w:ascii="Arial" w:hAnsi="Arial" w:cs="Arial"/>
          <w:sz w:val="24"/>
          <w:szCs w:val="24"/>
          <w:lang w:val="en-US"/>
        </w:rPr>
      </w:pPr>
    </w:p>
    <w:p w:rsidR="005E3015" w:rsidRDefault="005E3015" w:rsidP="005E3015">
      <w:pPr>
        <w:rPr>
          <w:rFonts w:ascii="Arial" w:hAnsi="Arial" w:cs="Arial"/>
          <w:sz w:val="24"/>
          <w:szCs w:val="24"/>
          <w:lang w:val="en-US"/>
        </w:rPr>
      </w:pPr>
    </w:p>
    <w:p w:rsidR="002D3B13" w:rsidRDefault="002D3B13" w:rsidP="005E3015">
      <w:pPr>
        <w:jc w:val="center"/>
        <w:rPr>
          <w:rFonts w:ascii="Arial" w:hAnsi="Arial" w:cs="Arial"/>
          <w:sz w:val="24"/>
          <w:szCs w:val="24"/>
          <w:lang w:val="en-US"/>
        </w:rPr>
      </w:pPr>
      <w:r>
        <w:rPr>
          <w:rFonts w:ascii="Arial" w:hAnsi="Arial" w:cs="Arial"/>
          <w:sz w:val="24"/>
          <w:szCs w:val="24"/>
          <w:lang w:val="en-US"/>
        </w:rPr>
        <w:t>Jeffrey Peresores</w:t>
      </w:r>
    </w:p>
    <w:p w:rsidR="002D3B13" w:rsidRDefault="002D3B13" w:rsidP="005E3015">
      <w:pPr>
        <w:jc w:val="center"/>
        <w:rPr>
          <w:rFonts w:ascii="Arial" w:hAnsi="Arial" w:cs="Arial"/>
          <w:sz w:val="24"/>
          <w:szCs w:val="24"/>
          <w:lang w:val="en-US"/>
        </w:rPr>
      </w:pPr>
      <w:r>
        <w:rPr>
          <w:rFonts w:ascii="Arial" w:hAnsi="Arial" w:cs="Arial"/>
          <w:sz w:val="24"/>
          <w:szCs w:val="24"/>
          <w:lang w:val="en-US"/>
        </w:rPr>
        <w:t>Jade Madijanon</w:t>
      </w:r>
    </w:p>
    <w:p w:rsidR="002D3B13" w:rsidRDefault="002D3B13" w:rsidP="005E3015">
      <w:pPr>
        <w:jc w:val="center"/>
        <w:rPr>
          <w:rFonts w:ascii="Arial" w:hAnsi="Arial" w:cs="Arial"/>
          <w:sz w:val="24"/>
          <w:szCs w:val="24"/>
          <w:lang w:val="en-US"/>
        </w:rPr>
      </w:pPr>
      <w:r>
        <w:rPr>
          <w:rFonts w:ascii="Arial" w:hAnsi="Arial" w:cs="Arial"/>
          <w:sz w:val="24"/>
          <w:szCs w:val="24"/>
          <w:lang w:val="en-US"/>
        </w:rPr>
        <w:t>Danica Cardana</w:t>
      </w:r>
    </w:p>
    <w:p w:rsidR="002D3B13" w:rsidRDefault="002D3B13" w:rsidP="00956D9A">
      <w:pPr>
        <w:rPr>
          <w:rFonts w:ascii="Arial" w:hAnsi="Arial" w:cs="Arial"/>
          <w:sz w:val="24"/>
          <w:szCs w:val="24"/>
          <w:lang w:val="en-US"/>
        </w:rPr>
      </w:pPr>
    </w:p>
    <w:p w:rsidR="002D3B13" w:rsidRDefault="002D3B13" w:rsidP="00956D9A">
      <w:pPr>
        <w:spacing w:before="30" w:after="30"/>
        <w:ind w:left="1440" w:right="1440"/>
        <w:rPr>
          <w:rFonts w:ascii="Arial" w:hAnsi="Arial" w:cs="Arial"/>
          <w:sz w:val="24"/>
          <w:szCs w:val="24"/>
          <w:lang w:val="en-US"/>
        </w:rPr>
      </w:pPr>
    </w:p>
    <w:p w:rsidR="002D3B13" w:rsidRDefault="002D3B13" w:rsidP="005E3015">
      <w:pPr>
        <w:jc w:val="center"/>
        <w:rPr>
          <w:rFonts w:ascii="Arial" w:hAnsi="Arial" w:cs="Arial"/>
          <w:sz w:val="24"/>
          <w:szCs w:val="24"/>
          <w:lang w:val="en-US"/>
        </w:rPr>
      </w:pPr>
      <w:r>
        <w:rPr>
          <w:rFonts w:ascii="Arial" w:hAnsi="Arial" w:cs="Arial"/>
          <w:sz w:val="24"/>
          <w:szCs w:val="24"/>
          <w:lang w:val="en-US"/>
        </w:rPr>
        <w:t>January 2026</w:t>
      </w:r>
    </w:p>
    <w:p w:rsidR="005E3015" w:rsidRDefault="005E3015" w:rsidP="005E3015">
      <w:pPr>
        <w:jc w:val="center"/>
        <w:rPr>
          <w:rFonts w:ascii="Arial" w:hAnsi="Arial" w:cs="Arial"/>
          <w:sz w:val="24"/>
          <w:szCs w:val="24"/>
          <w:lang w:val="en-US"/>
        </w:rPr>
      </w:pPr>
    </w:p>
    <w:p w:rsidR="00956D9A" w:rsidRPr="00956D9A" w:rsidRDefault="00956D9A" w:rsidP="00956D9A">
      <w:pPr>
        <w:jc w:val="center"/>
        <w:rPr>
          <w:rFonts w:ascii="Arial" w:hAnsi="Arial" w:cs="Arial"/>
          <w:b/>
          <w:sz w:val="24"/>
          <w:szCs w:val="24"/>
          <w:lang w:val="en-US"/>
        </w:rPr>
      </w:pPr>
      <w:r w:rsidRPr="00956D9A">
        <w:rPr>
          <w:rFonts w:ascii="Arial" w:hAnsi="Arial" w:cs="Arial"/>
          <w:b/>
          <w:sz w:val="24"/>
          <w:szCs w:val="24"/>
          <w:lang w:val="en-US"/>
        </w:rPr>
        <w:t>Chapter I – Introduction</w:t>
      </w:r>
    </w:p>
    <w:p w:rsidR="00956D9A" w:rsidRPr="00956D9A" w:rsidRDefault="00B0129C" w:rsidP="00956D9A">
      <w:pPr>
        <w:rPr>
          <w:rFonts w:ascii="Arial" w:hAnsi="Arial" w:cs="Arial"/>
          <w:b/>
          <w:sz w:val="24"/>
          <w:szCs w:val="24"/>
          <w:lang w:val="en-US"/>
        </w:rPr>
      </w:pPr>
      <w:r>
        <w:rPr>
          <w:rFonts w:ascii="Arial" w:hAnsi="Arial" w:cs="Arial"/>
          <w:b/>
          <w:sz w:val="24"/>
          <w:szCs w:val="24"/>
          <w:lang w:val="en-US"/>
        </w:rPr>
        <w:t xml:space="preserve">1.1 </w:t>
      </w:r>
      <w:bookmarkStart w:id="0" w:name="_GoBack"/>
      <w:bookmarkEnd w:id="0"/>
      <w:r w:rsidR="00956D9A" w:rsidRPr="00956D9A">
        <w:rPr>
          <w:rFonts w:ascii="Arial" w:hAnsi="Arial" w:cs="Arial"/>
          <w:b/>
          <w:sz w:val="24"/>
          <w:szCs w:val="24"/>
          <w:lang w:val="en-US"/>
        </w:rPr>
        <w:t>Background of the Study</w:t>
      </w: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Aquaculture is a growing sector in the Philippines, providing food security and livelihoods—especially in rural communities. In 2023, Philippine aquaculture production reached 2.4 million metric tons, with freshwater fish like tilapia accounting for over 60% of output (BFAR, 2024). Despite this scale, many small-scale pond owners stock fish without understanding their pond’s water conditions, leading to high mortality and economic l</w:t>
      </w:r>
      <w:r>
        <w:rPr>
          <w:rFonts w:ascii="Arial" w:hAnsi="Arial" w:cs="Arial"/>
          <w:sz w:val="24"/>
          <w:szCs w:val="24"/>
          <w:lang w:val="en-US"/>
        </w:rPr>
        <w:t>oss (Santos &amp; Dela Cruz, 2022).</w:t>
      </w:r>
    </w:p>
    <w:p w:rsidR="00956D9A" w:rsidRDefault="00956D9A" w:rsidP="00956D9A">
      <w:pPr>
        <w:rPr>
          <w:rFonts w:ascii="Arial" w:hAnsi="Arial" w:cs="Arial"/>
          <w:sz w:val="24"/>
          <w:szCs w:val="24"/>
          <w:lang w:val="en-US"/>
        </w:rPr>
      </w:pPr>
      <w:r w:rsidRPr="00956D9A">
        <w:rPr>
          <w:rFonts w:ascii="Arial" w:hAnsi="Arial" w:cs="Arial"/>
          <w:sz w:val="24"/>
          <w:szCs w:val="24"/>
          <w:lang w:val="en-US"/>
        </w:rPr>
        <w:t>Three real-world scenarios motivated this s</w:t>
      </w:r>
      <w:r>
        <w:rPr>
          <w:rFonts w:ascii="Arial" w:hAnsi="Arial" w:cs="Arial"/>
          <w:sz w:val="24"/>
          <w:szCs w:val="24"/>
          <w:lang w:val="en-US"/>
        </w:rPr>
        <w:t>tudy:</w:t>
      </w: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Scenario 1: A backyard farmer in Laguna lost an entire batch of milkfish fingerlings within days because the pond’s dissolved oxygen dropped below 3 mg/L at night—a condition invisible without monitoring. Hypoxic events are common in warm, stagnant ponds and can cause mass mortality if u</w:t>
      </w:r>
      <w:r>
        <w:rPr>
          <w:rFonts w:ascii="Arial" w:hAnsi="Arial" w:cs="Arial"/>
          <w:sz w:val="24"/>
          <w:szCs w:val="24"/>
          <w:lang w:val="en-US"/>
        </w:rPr>
        <w:t>ndetected (Reyes et al., 2021).</w:t>
      </w: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 xml:space="preserve">Scenario 2: A school in Batangas introduced koi into a shallow pond that reached 34°C during summer. The high temperature exceeded koi’s thermal tolerance (optimal: 15–25°C), causing chronic stress </w:t>
      </w:r>
      <w:r>
        <w:rPr>
          <w:rFonts w:ascii="Arial" w:hAnsi="Arial" w:cs="Arial"/>
          <w:sz w:val="24"/>
          <w:szCs w:val="24"/>
          <w:lang w:val="en-US"/>
        </w:rPr>
        <w:t>and death (Garcia &amp; Lim, 2023).</w:t>
      </w: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Scenario 3: A community aquaculture program distributed tilapia fingerlings to households without checking pH levels. In ponds with acidic water (pH &lt; 6.0), fish failed to grow due to impaired gill function and nutrient uptake—conditions well-documented in freshwater aqua</w:t>
      </w:r>
      <w:r>
        <w:rPr>
          <w:rFonts w:ascii="Arial" w:hAnsi="Arial" w:cs="Arial"/>
          <w:sz w:val="24"/>
          <w:szCs w:val="24"/>
          <w:lang w:val="en-US"/>
        </w:rPr>
        <w:t>culture literature (FAO, 2021).</w:t>
      </w: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These cases reveal a critical need: a simple, affordable system that translates basic water quality data into clear, a</w:t>
      </w:r>
      <w:r>
        <w:rPr>
          <w:rFonts w:ascii="Arial" w:hAnsi="Arial" w:cs="Arial"/>
          <w:sz w:val="24"/>
          <w:szCs w:val="24"/>
          <w:lang w:val="en-US"/>
        </w:rPr>
        <w:t>ctionable fish stocking advice.</w:t>
      </w:r>
    </w:p>
    <w:p w:rsidR="00956D9A" w:rsidRDefault="00956D9A" w:rsidP="00956D9A">
      <w:pPr>
        <w:rPr>
          <w:rFonts w:ascii="Arial" w:hAnsi="Arial" w:cs="Arial"/>
          <w:sz w:val="24"/>
          <w:szCs w:val="24"/>
          <w:lang w:val="en-US"/>
        </w:rPr>
      </w:pPr>
      <w:r w:rsidRPr="00956D9A">
        <w:rPr>
          <w:rFonts w:ascii="Arial" w:hAnsi="Arial" w:cs="Arial"/>
          <w:sz w:val="24"/>
          <w:szCs w:val="24"/>
          <w:lang w:val="en-US"/>
        </w:rPr>
        <w:t>With advances in low-cost sensors and IoT, it is now feasible to monitor pH, dissolved oxygen, and temperature in real time—and use this data to guide species selection scientifically (Khan et al</w:t>
      </w:r>
      <w:r>
        <w:rPr>
          <w:rFonts w:ascii="Arial" w:hAnsi="Arial" w:cs="Arial"/>
          <w:sz w:val="24"/>
          <w:szCs w:val="24"/>
          <w:lang w:val="en-US"/>
        </w:rPr>
        <w:t>., 2021; Patel &amp; Nguyen, 2022).</w:t>
      </w:r>
    </w:p>
    <w:p w:rsidR="005E3015" w:rsidRPr="00956D9A" w:rsidRDefault="005E3015" w:rsidP="00956D9A">
      <w:pPr>
        <w:rPr>
          <w:rFonts w:ascii="Arial" w:hAnsi="Arial" w:cs="Arial"/>
          <w:sz w:val="24"/>
          <w:szCs w:val="24"/>
          <w:lang w:val="en-US"/>
        </w:rPr>
      </w:pPr>
    </w:p>
    <w:p w:rsidR="00956D9A" w:rsidRPr="00956D9A" w:rsidRDefault="00956D9A" w:rsidP="00956D9A">
      <w:pPr>
        <w:jc w:val="center"/>
        <w:rPr>
          <w:rFonts w:ascii="Arial" w:hAnsi="Arial" w:cs="Arial"/>
          <w:b/>
          <w:sz w:val="24"/>
          <w:szCs w:val="24"/>
          <w:lang w:val="en-US"/>
        </w:rPr>
      </w:pPr>
      <w:r w:rsidRPr="00956D9A">
        <w:rPr>
          <w:rFonts w:ascii="Arial" w:hAnsi="Arial" w:cs="Arial"/>
          <w:b/>
          <w:sz w:val="24"/>
          <w:szCs w:val="24"/>
          <w:lang w:val="en-US"/>
        </w:rPr>
        <w:t>Statement of the Problem</w:t>
      </w: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Many pond owners in the Philippines select fish based on availability or tradition—not environmental suitability. This mismatch leads to poor survival, wasted resources, and discouragemen</w:t>
      </w:r>
      <w:r>
        <w:rPr>
          <w:rFonts w:ascii="Arial" w:hAnsi="Arial" w:cs="Arial"/>
          <w:sz w:val="24"/>
          <w:szCs w:val="24"/>
          <w:lang w:val="en-US"/>
        </w:rPr>
        <w:t>t from sustainable aquaculture.</w:t>
      </w: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This study addresses the following problem:</w:t>
      </w: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How can real-time measurements of pH, dissolved oxygen, and temperature be used to recommend the most suitable freshwater</w:t>
      </w:r>
      <w:r>
        <w:rPr>
          <w:rFonts w:ascii="Arial" w:hAnsi="Arial" w:cs="Arial"/>
          <w:sz w:val="24"/>
          <w:szCs w:val="24"/>
          <w:lang w:val="en-US"/>
        </w:rPr>
        <w:t xml:space="preserve"> fish species for a given pond?</w:t>
      </w: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Specifically, it seeks to answer:</w:t>
      </w:r>
    </w:p>
    <w:p w:rsidR="00956D9A" w:rsidRPr="00956D9A" w:rsidRDefault="00956D9A" w:rsidP="00956D9A">
      <w:pPr>
        <w:rPr>
          <w:rFonts w:ascii="Arial" w:hAnsi="Arial" w:cs="Arial"/>
          <w:sz w:val="24"/>
          <w:szCs w:val="24"/>
          <w:lang w:val="en-US"/>
        </w:rPr>
      </w:pP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What are the current values of pH, dissolved oxygen, and temperature in the target pond?</w:t>
      </w: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Which locally relevant fish species are compatible with these measured conditions?</w:t>
      </w: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How can an IoT-based system deliver this recommendation reliably and intuitively?</w:t>
      </w: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Objectives of the Study</w:t>
      </w: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General Objective</w:t>
      </w: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This study aims to design and develop AquaGuide: an IoT-based smart pond monitoring system that recommends optimal fish species based on real-time measurements of pH, dissolved oxygen, and temperature.</w:t>
      </w:r>
    </w:p>
    <w:p w:rsidR="00956D9A" w:rsidRPr="00956D9A" w:rsidRDefault="00956D9A" w:rsidP="00956D9A">
      <w:pPr>
        <w:rPr>
          <w:rFonts w:ascii="Arial" w:hAnsi="Arial" w:cs="Arial"/>
          <w:sz w:val="24"/>
          <w:szCs w:val="24"/>
          <w:lang w:val="en-US"/>
        </w:rPr>
      </w:pP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Specific Objectives</w:t>
      </w: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The study seeks to:</w:t>
      </w:r>
    </w:p>
    <w:p w:rsidR="00956D9A" w:rsidRPr="00956D9A" w:rsidRDefault="00956D9A" w:rsidP="00956D9A">
      <w:pPr>
        <w:rPr>
          <w:rFonts w:ascii="Arial" w:hAnsi="Arial" w:cs="Arial"/>
          <w:sz w:val="24"/>
          <w:szCs w:val="24"/>
          <w:lang w:val="en-US"/>
        </w:rPr>
      </w:pP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To develop a sensor node capable of measuring pH, dissolved oxygen, and water temperature in freshwater ponds.</w:t>
      </w: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To implement a rule-based decision engine that matches real-time sensor data with species-specific tolerance ranges from a curated database.</w:t>
      </w: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To design a mobile/web interface that displays water quality status and recommends suitable fish species in a user-friendly format.</w:t>
      </w: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To evaluate the system’s functionality and usability through testing and user feedback.</w:t>
      </w:r>
    </w:p>
    <w:p w:rsidR="00956D9A" w:rsidRPr="005E3015" w:rsidRDefault="00956D9A" w:rsidP="00956D9A">
      <w:pPr>
        <w:rPr>
          <w:rFonts w:ascii="Arial" w:hAnsi="Arial" w:cs="Arial"/>
          <w:b/>
          <w:sz w:val="24"/>
          <w:szCs w:val="24"/>
          <w:lang w:val="en-US"/>
        </w:rPr>
      </w:pPr>
      <w:r w:rsidRPr="005E3015">
        <w:rPr>
          <w:rFonts w:ascii="Arial" w:hAnsi="Arial" w:cs="Arial"/>
          <w:b/>
          <w:sz w:val="24"/>
          <w:szCs w:val="24"/>
          <w:lang w:val="en-US"/>
        </w:rPr>
        <w:t>Significance of the Study</w:t>
      </w: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Small-scale farmers: Avoid costly stocking mistakes by choosing fish suited to actual pond conditions.</w:t>
      </w: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Students and educators: Use AquaGuide as a teaching tool for environmental science and IoT applications.</w:t>
      </w: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Local government units (LGUs): Improve success rates of community aquaculture programs through data-informed fingerling distribution.</w:t>
      </w: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Researchers: Establish a replicable model for lightweight, ecologically intelligent IoT systems in agriculture.</w:t>
      </w:r>
    </w:p>
    <w:p w:rsidR="00956D9A" w:rsidRPr="005E3015" w:rsidRDefault="00956D9A" w:rsidP="00956D9A">
      <w:pPr>
        <w:rPr>
          <w:rFonts w:ascii="Arial" w:hAnsi="Arial" w:cs="Arial"/>
          <w:b/>
          <w:sz w:val="24"/>
          <w:szCs w:val="24"/>
          <w:lang w:val="en-US"/>
        </w:rPr>
      </w:pPr>
      <w:r w:rsidRPr="005E3015">
        <w:rPr>
          <w:rFonts w:ascii="Arial" w:hAnsi="Arial" w:cs="Arial"/>
          <w:b/>
          <w:sz w:val="24"/>
          <w:szCs w:val="24"/>
          <w:lang w:val="en-US"/>
        </w:rPr>
        <w:t>Conceptual Framework</w:t>
      </w: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This study uses the Input-Process-Output (IPO) model:</w:t>
      </w:r>
    </w:p>
    <w:p w:rsidR="00956D9A" w:rsidRPr="00956D9A" w:rsidRDefault="00956D9A" w:rsidP="00956D9A">
      <w:pPr>
        <w:rPr>
          <w:rFonts w:ascii="Arial" w:hAnsi="Arial" w:cs="Arial"/>
          <w:sz w:val="24"/>
          <w:szCs w:val="24"/>
          <w:lang w:val="en-US"/>
        </w:rPr>
      </w:pP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Input: Real-time data from three sensors:</w:t>
      </w: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pH (optimal range: 6.5–9.0 for most freshwater fish)</w:t>
      </w: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Dissolved Oxygen (DO) in mg/L (critical threshold: &gt;4 mg/L)</w:t>
      </w: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Temperature in °C (species-dependent, e.g., tilapia: 25–32°C)</w:t>
      </w: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Process:</w:t>
      </w: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Data transmitted wirelessly to cloud platform</w:t>
      </w: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Compared against a database of fish species profiles</w:t>
      </w: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Compatibility scored using rule-based logic (e.g., “If DO &lt; 4 → exclude trout”)</w:t>
      </w: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Top matching species selected</w:t>
      </w: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Output:</w:t>
      </w: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Recommended fish species (e.g., “Nile Tilapia – Highly Suitable”)</w:t>
      </w: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Visual dashboard showing current parameter values and status indicators</w:t>
      </w: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Figure 1: IPO Diagram of AquaGuide</w:t>
      </w: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(To be included in final manuscript)</w:t>
      </w:r>
    </w:p>
    <w:p w:rsidR="00956D9A" w:rsidRPr="00956D9A" w:rsidRDefault="00956D9A" w:rsidP="00956D9A">
      <w:pPr>
        <w:rPr>
          <w:rFonts w:ascii="Arial" w:hAnsi="Arial" w:cs="Arial"/>
          <w:sz w:val="24"/>
          <w:szCs w:val="24"/>
          <w:lang w:val="en-US"/>
        </w:rPr>
      </w:pPr>
    </w:p>
    <w:p w:rsidR="00956D9A" w:rsidRPr="005E3015" w:rsidRDefault="005E3015" w:rsidP="00956D9A">
      <w:pPr>
        <w:rPr>
          <w:rFonts w:ascii="Arial" w:hAnsi="Arial" w:cs="Arial"/>
          <w:b/>
          <w:sz w:val="24"/>
          <w:szCs w:val="24"/>
          <w:lang w:val="en-US"/>
        </w:rPr>
      </w:pPr>
      <w:r w:rsidRPr="005E3015">
        <w:rPr>
          <w:rFonts w:ascii="Arial" w:hAnsi="Arial" w:cs="Arial"/>
          <w:b/>
          <w:sz w:val="24"/>
          <w:szCs w:val="24"/>
          <w:lang w:val="en-US"/>
        </w:rPr>
        <w:t>Scope and Limitations</w:t>
      </w: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Monitors only three parameters: pH, dissolved oxygen, and temperature.</w:t>
      </w: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Focuses on freshwater pond environments in the Philippine context.</w:t>
      </w: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Recommends common, locally available species: Nile tilapia, catfish (Pangasius), carp, goldfish, and koi.</w:t>
      </w: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Uses rule-based logic (not machine learning).</w:t>
      </w: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Includes a web-based dashboard for data visualization and recommendations.</w:t>
      </w: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Limitations</w:t>
      </w: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Does not measure nutrients (ammonia, nitrite), turbidity, or conductivity.</w:t>
      </w: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Does not automate interventions (e.g., aeration, pH adjustment).</w:t>
      </w: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Recommendations are advisory; final decisions rest with the user.</w:t>
      </w: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Sensor accuracy depends on proper calibration and maintenance.</w:t>
      </w:r>
    </w:p>
    <w:p w:rsidR="00956D9A" w:rsidRPr="005E3015" w:rsidRDefault="00956D9A" w:rsidP="00956D9A">
      <w:pPr>
        <w:rPr>
          <w:rFonts w:ascii="Arial" w:hAnsi="Arial" w:cs="Arial"/>
          <w:b/>
          <w:sz w:val="24"/>
          <w:szCs w:val="24"/>
          <w:lang w:val="en-US"/>
        </w:rPr>
      </w:pPr>
      <w:r w:rsidRPr="005E3015">
        <w:rPr>
          <w:rFonts w:ascii="Arial" w:hAnsi="Arial" w:cs="Arial"/>
          <w:b/>
          <w:sz w:val="24"/>
          <w:szCs w:val="24"/>
          <w:lang w:val="en-US"/>
        </w:rPr>
        <w:t>Technical Background</w:t>
      </w: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AquaGuide integrates:</w:t>
      </w:r>
    </w:p>
    <w:p w:rsidR="00956D9A" w:rsidRPr="00956D9A" w:rsidRDefault="00956D9A" w:rsidP="00956D9A">
      <w:pPr>
        <w:rPr>
          <w:rFonts w:ascii="Arial" w:hAnsi="Arial" w:cs="Arial"/>
          <w:sz w:val="24"/>
          <w:szCs w:val="24"/>
          <w:lang w:val="en-US"/>
        </w:rPr>
      </w:pP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Hardware: ESP32 microcontroller with:</w:t>
      </w: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Analog/digital pH sensor (e.g., DF Robot SEN0161)</w:t>
      </w: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Dissolved oxygen sensor (e.g., Atlas Scientific DO probe or equivalent)</w:t>
      </w: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Waterproof DS18B20 temperature sensor</w:t>
      </w: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Connectivity: Wi-Fi (for short-range) or LoRa (for remote areas)</w:t>
      </w: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Cloud Platform: ThingSpeak or Firebase for data logging</w:t>
      </w: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Decision Engine: Server-side script (Node.js/Python) that applies rules like:</w:t>
      </w: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python</w:t>
      </w: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12</w:t>
      </w: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if 6.5 &lt;= pH &lt;= 9.0 and DO &gt;= 4 and 25 &lt;= temp &lt;= 32:</w:t>
      </w: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 xml:space="preserve">    recommend("Nile Tilapia")</w:t>
      </w: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Frontend: Responsive web app showing live values, status lights (green/yellow/red), and species card with compatibility rationale.</w:t>
      </w: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Chapter II – Review of Related Literature and Studies</w:t>
      </w: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Global Perspective</w:t>
      </w: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IoT-based aquaculture monitoring has gained traction worldwide. Khan et al. (2021) developed a wireless sensor network in India that monitored DO and temperature to alert farmers of hypoxic events, reducing mortality by 30%. Similarly, Patel and Nguyen (2022) implemented a cloud-based fish recommendation system in Vietnam that used real-time water data to guide species selection—though it relied on expensive multi-parameter probes. These studies confirm that real-time sensing combined with ecological rules can significantly improve aquaculture outcomes.</w:t>
      </w:r>
    </w:p>
    <w:p w:rsidR="00956D9A" w:rsidRPr="00956D9A" w:rsidRDefault="00956D9A" w:rsidP="00956D9A">
      <w:pPr>
        <w:rPr>
          <w:rFonts w:ascii="Arial" w:hAnsi="Arial" w:cs="Arial"/>
          <w:sz w:val="24"/>
          <w:szCs w:val="24"/>
          <w:lang w:val="en-US"/>
        </w:rPr>
      </w:pP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National (Philippine) Context</w:t>
      </w: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In the Philippines, the Bureau of Fisheries and Aquatic Resources (BFAR, 2024) promotes tilapia and catfish farming but acknowledges inconsistent yields due to unmonitored water quality. Santos and Dela Cruz (2022) found that 68% of smallholders in Region IV-A had no access to water testing tools. While researchers at UP Los Baños prototyped a low-cost DO logger (Reyes et al., 2021), none integrated automated species recommendation based on multiple parameters.</w:t>
      </w:r>
    </w:p>
    <w:p w:rsidR="00956D9A" w:rsidRPr="00956D9A" w:rsidRDefault="00956D9A" w:rsidP="00956D9A">
      <w:pPr>
        <w:rPr>
          <w:rFonts w:ascii="Arial" w:hAnsi="Arial" w:cs="Arial"/>
          <w:sz w:val="24"/>
          <w:szCs w:val="24"/>
          <w:lang w:val="en-US"/>
        </w:rPr>
      </w:pP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Local Setting</w:t>
      </w: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At the institutional level, student-led pond projects in [Your University/Region] often fail due to thermal stress or low oxygen. Interviews with local technicians confirm that species selection is rarely based on water testing (Dela Rosa, 2020).</w:t>
      </w:r>
    </w:p>
    <w:p w:rsidR="00956D9A" w:rsidRPr="00956D9A" w:rsidRDefault="00956D9A" w:rsidP="00956D9A">
      <w:pPr>
        <w:rPr>
          <w:rFonts w:ascii="Arial" w:hAnsi="Arial" w:cs="Arial"/>
          <w:sz w:val="24"/>
          <w:szCs w:val="24"/>
          <w:lang w:val="en-US"/>
        </w:rPr>
      </w:pP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Research Gap</w:t>
      </w: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There is a clear need for an affordable, integrated system that turns basic water quality readings (pH, DO, temperature) into immediate, species-specific advice—a gap AquaGuide directly addresses using accessible hardware and rule-based logic grounded in scientific literature.</w:t>
      </w:r>
    </w:p>
    <w:p w:rsidR="00956D9A" w:rsidRPr="00956D9A" w:rsidRDefault="00956D9A" w:rsidP="00956D9A">
      <w:pPr>
        <w:rPr>
          <w:rFonts w:ascii="Arial" w:hAnsi="Arial" w:cs="Arial"/>
          <w:sz w:val="24"/>
          <w:szCs w:val="24"/>
          <w:lang w:val="en-US"/>
        </w:rPr>
      </w:pPr>
    </w:p>
    <w:p w:rsidR="00956D9A" w:rsidRPr="005E3015" w:rsidRDefault="00956D9A" w:rsidP="005E3015">
      <w:pPr>
        <w:jc w:val="center"/>
        <w:rPr>
          <w:rFonts w:ascii="Arial" w:hAnsi="Arial" w:cs="Arial"/>
          <w:b/>
          <w:sz w:val="24"/>
          <w:szCs w:val="24"/>
          <w:lang w:val="en-US"/>
        </w:rPr>
      </w:pPr>
      <w:r w:rsidRPr="005E3015">
        <w:rPr>
          <w:rFonts w:ascii="Arial" w:hAnsi="Arial" w:cs="Arial"/>
          <w:b/>
          <w:sz w:val="24"/>
          <w:szCs w:val="24"/>
          <w:lang w:val="en-US"/>
        </w:rPr>
        <w:t>Chapter III – Research Design and Methodology</w:t>
      </w: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(No new citations needed here, as methodology draws from standard software engineering practices. Agile/Scrum is widely accepted; see Beck et al., 2020, if required.)</w:t>
      </w:r>
    </w:p>
    <w:p w:rsidR="00956D9A" w:rsidRPr="00956D9A" w:rsidRDefault="00956D9A" w:rsidP="00956D9A">
      <w:pPr>
        <w:rPr>
          <w:rFonts w:ascii="Arial" w:hAnsi="Arial" w:cs="Arial"/>
          <w:sz w:val="24"/>
          <w:szCs w:val="24"/>
          <w:lang w:val="en-US"/>
        </w:rPr>
      </w:pP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Research Locale</w:t>
      </w: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Prototype testing will occur at [Your University’s Aquaculture Lab]. Final validation may involve a pilot site in [e.g., Laguna].</w:t>
      </w:r>
    </w:p>
    <w:p w:rsidR="00956D9A" w:rsidRPr="00956D9A" w:rsidRDefault="00956D9A" w:rsidP="00956D9A">
      <w:pPr>
        <w:rPr>
          <w:rFonts w:ascii="Arial" w:hAnsi="Arial" w:cs="Arial"/>
          <w:sz w:val="24"/>
          <w:szCs w:val="24"/>
          <w:lang w:val="en-US"/>
        </w:rPr>
      </w:pP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Methodology</w:t>
      </w: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The study adopts the Agile Development Methodology (Scrum) due to its iterative nature, allowing rapid prototyping, user feedback, and hardware-software co-development.</w:t>
      </w:r>
    </w:p>
    <w:p w:rsidR="00956D9A" w:rsidRPr="00956D9A" w:rsidRDefault="00956D9A" w:rsidP="00956D9A">
      <w:pPr>
        <w:rPr>
          <w:rFonts w:ascii="Arial" w:hAnsi="Arial" w:cs="Arial"/>
          <w:sz w:val="24"/>
          <w:szCs w:val="24"/>
          <w:lang w:val="en-US"/>
        </w:rPr>
      </w:pP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Requirement Analysis</w:t>
      </w: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Derived from objectives and validated through:</w:t>
      </w:r>
    </w:p>
    <w:p w:rsidR="00956D9A" w:rsidRPr="00956D9A" w:rsidRDefault="00956D9A" w:rsidP="00956D9A">
      <w:pPr>
        <w:rPr>
          <w:rFonts w:ascii="Arial" w:hAnsi="Arial" w:cs="Arial"/>
          <w:sz w:val="24"/>
          <w:szCs w:val="24"/>
          <w:lang w:val="en-US"/>
        </w:rPr>
      </w:pP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Document analysis (FAO, 2021; BFAR, 2024)</w:t>
      </w: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Expert interview (fisheries technician)</w:t>
      </w: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User survey (n=15)</w:t>
      </w: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System Modules</w:t>
      </w: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Sensing Module: ESP32 + pH, DO, temperature sensors</w:t>
      </w: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Processing Module: Cloud-based rule engine</w:t>
      </w: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Interface Module: Web dashboard with live data and recommendations</w:t>
      </w: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References</w:t>
      </w: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Beck, K., Beedle, M., van Bennekum, A., Cockburn, A., Cunningham, W., Fowler, M., ... &amp; Thomas, D. (2020). Manifesto for Agile Software Development. Agile Alliance. https://agilemanifesto.org/</w:t>
      </w:r>
    </w:p>
    <w:p w:rsidR="00956D9A" w:rsidRPr="00956D9A" w:rsidRDefault="00956D9A" w:rsidP="00956D9A">
      <w:pPr>
        <w:rPr>
          <w:rFonts w:ascii="Arial" w:hAnsi="Arial" w:cs="Arial"/>
          <w:sz w:val="24"/>
          <w:szCs w:val="24"/>
          <w:lang w:val="en-US"/>
        </w:rPr>
      </w:pP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Bureau of Fisheries and Aquatic Resources (BFAR). (2024). Philippine Fisheries Profile 2023. Department of Agriculture, Republic of the Philippines.</w:t>
      </w:r>
    </w:p>
    <w:p w:rsidR="00956D9A" w:rsidRPr="00956D9A" w:rsidRDefault="00956D9A" w:rsidP="00956D9A">
      <w:pPr>
        <w:rPr>
          <w:rFonts w:ascii="Arial" w:hAnsi="Arial" w:cs="Arial"/>
          <w:sz w:val="24"/>
          <w:szCs w:val="24"/>
          <w:lang w:val="en-US"/>
        </w:rPr>
      </w:pP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Dela Rosa, M. J. (2020). Challenges in community-based aquaculture in Southern Luzon. Philippine Journal of Fisheries, 27(2), 45–58.</w:t>
      </w:r>
    </w:p>
    <w:p w:rsidR="00956D9A" w:rsidRPr="00956D9A" w:rsidRDefault="00956D9A" w:rsidP="00956D9A">
      <w:pPr>
        <w:rPr>
          <w:rFonts w:ascii="Arial" w:hAnsi="Arial" w:cs="Arial"/>
          <w:sz w:val="24"/>
          <w:szCs w:val="24"/>
          <w:lang w:val="en-US"/>
        </w:rPr>
      </w:pP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Food and Agriculture Organization of the United Nations (FAO). (2021). Guidelines for Sustainable Aquaculture Development. FAO Fisheries and Aquaculture Technical Paper No. 665. Rome.</w:t>
      </w:r>
    </w:p>
    <w:p w:rsidR="00956D9A" w:rsidRPr="00956D9A" w:rsidRDefault="00956D9A" w:rsidP="00956D9A">
      <w:pPr>
        <w:rPr>
          <w:rFonts w:ascii="Arial" w:hAnsi="Arial" w:cs="Arial"/>
          <w:sz w:val="24"/>
          <w:szCs w:val="24"/>
          <w:lang w:val="en-US"/>
        </w:rPr>
      </w:pP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Garcia, L. T., &amp; Lim, R. S. (2023). Thermal stress impacts on ornamental fish in backyard ponds. Aquaculture Reports, 28, 101452. https://doi.org/10.1016/j.aqrep.2023.101452</w:t>
      </w:r>
    </w:p>
    <w:p w:rsidR="00956D9A" w:rsidRPr="00956D9A" w:rsidRDefault="00956D9A" w:rsidP="00956D9A">
      <w:pPr>
        <w:rPr>
          <w:rFonts w:ascii="Arial" w:hAnsi="Arial" w:cs="Arial"/>
          <w:sz w:val="24"/>
          <w:szCs w:val="24"/>
          <w:lang w:val="en-US"/>
        </w:rPr>
      </w:pP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Khan, Z., Ahmad, H., &amp; Javaid, M. (2021). IoT-based real-time water quality monitoring for aquaculture. Computers and Electronics in Agriculture, 180, 105902. https://doi.org/10.1016/j.compag.2020.105902</w:t>
      </w:r>
    </w:p>
    <w:p w:rsidR="00956D9A" w:rsidRPr="00956D9A" w:rsidRDefault="00956D9A" w:rsidP="00956D9A">
      <w:pPr>
        <w:rPr>
          <w:rFonts w:ascii="Arial" w:hAnsi="Arial" w:cs="Arial"/>
          <w:sz w:val="24"/>
          <w:szCs w:val="24"/>
          <w:lang w:val="en-US"/>
        </w:rPr>
      </w:pP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Patel, D., &amp; Nguyen, T. (2022). Smart decision support systems for small-scale aquaculture. IEEE Internet of Things Journal, 9(14), 12345–12356. https://doi.org/10.1109/JIOT.2022.3156789</w:t>
      </w:r>
    </w:p>
    <w:p w:rsidR="00956D9A" w:rsidRPr="00956D9A" w:rsidRDefault="00956D9A" w:rsidP="00956D9A">
      <w:pPr>
        <w:rPr>
          <w:rFonts w:ascii="Arial" w:hAnsi="Arial" w:cs="Arial"/>
          <w:sz w:val="24"/>
          <w:szCs w:val="24"/>
          <w:lang w:val="en-US"/>
        </w:rPr>
      </w:pPr>
    </w:p>
    <w:p w:rsidR="00956D9A" w:rsidRPr="00956D9A" w:rsidRDefault="00956D9A" w:rsidP="00956D9A">
      <w:pPr>
        <w:rPr>
          <w:rFonts w:ascii="Arial" w:hAnsi="Arial" w:cs="Arial"/>
          <w:sz w:val="24"/>
          <w:szCs w:val="24"/>
          <w:lang w:val="en-US"/>
        </w:rPr>
      </w:pPr>
      <w:r w:rsidRPr="00956D9A">
        <w:rPr>
          <w:rFonts w:ascii="Arial" w:hAnsi="Arial" w:cs="Arial"/>
          <w:sz w:val="24"/>
          <w:szCs w:val="24"/>
          <w:lang w:val="en-US"/>
        </w:rPr>
        <w:t>Reyes, A. B., Tan, K. L., &amp; Ocampo, P. R. (2021). Low-cost dissolved oxygen monitoring for rural fish farms. Journal of Agricultural Engineering Philippines, 15(1), 22–30.</w:t>
      </w:r>
    </w:p>
    <w:p w:rsidR="00956D9A" w:rsidRPr="00956D9A" w:rsidRDefault="00956D9A" w:rsidP="00956D9A">
      <w:pPr>
        <w:rPr>
          <w:rFonts w:ascii="Arial" w:hAnsi="Arial" w:cs="Arial"/>
          <w:sz w:val="24"/>
          <w:szCs w:val="24"/>
          <w:lang w:val="en-US"/>
        </w:rPr>
      </w:pPr>
    </w:p>
    <w:p w:rsidR="00956D9A" w:rsidRPr="002D3B13" w:rsidRDefault="00956D9A" w:rsidP="00956D9A">
      <w:pPr>
        <w:rPr>
          <w:rFonts w:ascii="Arial" w:hAnsi="Arial" w:cs="Arial"/>
          <w:sz w:val="24"/>
          <w:szCs w:val="24"/>
          <w:lang w:val="en-US"/>
        </w:rPr>
      </w:pPr>
      <w:r w:rsidRPr="00956D9A">
        <w:rPr>
          <w:rFonts w:ascii="Arial" w:hAnsi="Arial" w:cs="Arial"/>
          <w:sz w:val="24"/>
          <w:szCs w:val="24"/>
          <w:lang w:val="en-US"/>
        </w:rPr>
        <w:t>Santos, E. G., &amp; Dela Cruz, F. M. (2022). Adoption barriers to digital tools in Philippine aquaculture. Asian Fisheries Science, 35(3), 112–125.</w:t>
      </w:r>
    </w:p>
    <w:sectPr w:rsidR="00956D9A" w:rsidRPr="002D3B13" w:rsidSect="004E050F">
      <w:pgSz w:w="12240" w:h="15840" w:code="1"/>
      <w:pgMar w:top="1440" w:right="1440" w:bottom="1440" w:left="2160" w:header="284" w:footer="284"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3B13"/>
    <w:rsid w:val="002D3B13"/>
    <w:rsid w:val="004E050F"/>
    <w:rsid w:val="005E3015"/>
    <w:rsid w:val="00956D9A"/>
    <w:rsid w:val="00B0129C"/>
    <w:rsid w:val="00B95E9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98C47"/>
  <w15:chartTrackingRefBased/>
  <w15:docId w15:val="{64E4AEDF-4DF5-4D55-BA13-D812F75B2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10241220">
      <w:bodyDiv w:val="1"/>
      <w:marLeft w:val="0"/>
      <w:marRight w:val="0"/>
      <w:marTop w:val="0"/>
      <w:marBottom w:val="0"/>
      <w:divBdr>
        <w:top w:val="none" w:sz="0" w:space="0" w:color="auto"/>
        <w:left w:val="none" w:sz="0" w:space="0" w:color="auto"/>
        <w:bottom w:val="none" w:sz="0" w:space="0" w:color="auto"/>
        <w:right w:val="none" w:sz="0" w:space="0" w:color="auto"/>
      </w:divBdr>
      <w:divsChild>
        <w:div w:id="1779981600">
          <w:marLeft w:val="0"/>
          <w:marRight w:val="0"/>
          <w:marTop w:val="0"/>
          <w:marBottom w:val="0"/>
          <w:divBdr>
            <w:top w:val="single" w:sz="2" w:space="0" w:color="E3E3E3"/>
            <w:left w:val="single" w:sz="2" w:space="0" w:color="E3E3E3"/>
            <w:bottom w:val="single" w:sz="2" w:space="0" w:color="E3E3E3"/>
            <w:right w:val="single" w:sz="2" w:space="0" w:color="E3E3E3"/>
          </w:divBdr>
          <w:divsChild>
            <w:div w:id="13376585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85770207">
          <w:marLeft w:val="0"/>
          <w:marRight w:val="0"/>
          <w:marTop w:val="0"/>
          <w:marBottom w:val="0"/>
          <w:divBdr>
            <w:top w:val="single" w:sz="2" w:space="0" w:color="E3E3E3"/>
            <w:left w:val="single" w:sz="2" w:space="0" w:color="E3E3E3"/>
            <w:bottom w:val="single" w:sz="2" w:space="0" w:color="E3E3E3"/>
            <w:right w:val="single" w:sz="2" w:space="0" w:color="E3E3E3"/>
          </w:divBdr>
          <w:divsChild>
            <w:div w:id="1549029886">
              <w:marLeft w:val="0"/>
              <w:marRight w:val="0"/>
              <w:marTop w:val="0"/>
              <w:marBottom w:val="0"/>
              <w:divBdr>
                <w:top w:val="single" w:sz="2" w:space="0" w:color="E3E3E3"/>
                <w:left w:val="single" w:sz="2" w:space="0" w:color="E3E3E3"/>
                <w:bottom w:val="single" w:sz="2" w:space="0" w:color="E3E3E3"/>
                <w:right w:val="single" w:sz="2" w:space="0" w:color="E3E3E3"/>
              </w:divBdr>
              <w:divsChild>
                <w:div w:id="951284643">
                  <w:marLeft w:val="0"/>
                  <w:marRight w:val="0"/>
                  <w:marTop w:val="0"/>
                  <w:marBottom w:val="0"/>
                  <w:divBdr>
                    <w:top w:val="single" w:sz="2" w:space="0" w:color="E3E3E3"/>
                    <w:left w:val="single" w:sz="2" w:space="0" w:color="E3E3E3"/>
                    <w:bottom w:val="single" w:sz="2" w:space="0" w:color="E3E3E3"/>
                    <w:right w:val="single" w:sz="2" w:space="0" w:color="E3E3E3"/>
                  </w:divBdr>
                  <w:divsChild>
                    <w:div w:id="1987322470">
                      <w:marLeft w:val="0"/>
                      <w:marRight w:val="0"/>
                      <w:marTop w:val="0"/>
                      <w:marBottom w:val="0"/>
                      <w:divBdr>
                        <w:top w:val="single" w:sz="2" w:space="0" w:color="E3E3E3"/>
                        <w:left w:val="single" w:sz="2" w:space="0" w:color="E3E3E3"/>
                        <w:bottom w:val="single" w:sz="2" w:space="0" w:color="E3E3E3"/>
                        <w:right w:val="single" w:sz="2" w:space="0" w:color="E3E3E3"/>
                      </w:divBdr>
                      <w:divsChild>
                        <w:div w:id="1548712518">
                          <w:marLeft w:val="0"/>
                          <w:marRight w:val="0"/>
                          <w:marTop w:val="0"/>
                          <w:marBottom w:val="0"/>
                          <w:divBdr>
                            <w:top w:val="single" w:sz="2" w:space="0" w:color="E3E3E3"/>
                            <w:left w:val="single" w:sz="2" w:space="0" w:color="E3E3E3"/>
                            <w:bottom w:val="single" w:sz="2" w:space="0" w:color="E3E3E3"/>
                            <w:right w:val="single" w:sz="2" w:space="0" w:color="E3E3E3"/>
                          </w:divBdr>
                          <w:divsChild>
                            <w:div w:id="1093429698">
                              <w:marLeft w:val="0"/>
                              <w:marRight w:val="0"/>
                              <w:marTop w:val="0"/>
                              <w:marBottom w:val="0"/>
                              <w:divBdr>
                                <w:top w:val="single" w:sz="2" w:space="0" w:color="E3E3E3"/>
                                <w:left w:val="single" w:sz="2" w:space="0" w:color="E3E3E3"/>
                                <w:bottom w:val="single" w:sz="2" w:space="0" w:color="E3E3E3"/>
                                <w:right w:val="single" w:sz="2" w:space="0" w:color="E3E3E3"/>
                              </w:divBdr>
                              <w:divsChild>
                                <w:div w:id="1525091828">
                                  <w:marLeft w:val="0"/>
                                  <w:marRight w:val="0"/>
                                  <w:marTop w:val="0"/>
                                  <w:marBottom w:val="0"/>
                                  <w:divBdr>
                                    <w:top w:val="single" w:sz="2" w:space="0" w:color="E3E3E3"/>
                                    <w:left w:val="single" w:sz="2" w:space="0" w:color="E3E3E3"/>
                                    <w:bottom w:val="single" w:sz="2" w:space="0" w:color="E3E3E3"/>
                                    <w:right w:val="single" w:sz="2" w:space="0" w:color="E3E3E3"/>
                                  </w:divBdr>
                                  <w:divsChild>
                                    <w:div w:id="10240183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71456536">
                                  <w:marLeft w:val="0"/>
                                  <w:marRight w:val="0"/>
                                  <w:marTop w:val="0"/>
                                  <w:marBottom w:val="0"/>
                                  <w:divBdr>
                                    <w:top w:val="single" w:sz="2" w:space="0" w:color="E3E3E3"/>
                                    <w:left w:val="single" w:sz="2" w:space="0" w:color="E3E3E3"/>
                                    <w:bottom w:val="single" w:sz="2" w:space="0" w:color="E3E3E3"/>
                                    <w:right w:val="single" w:sz="2" w:space="0" w:color="E3E3E3"/>
                                  </w:divBdr>
                                  <w:divsChild>
                                    <w:div w:id="13972442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91083621">
          <w:marLeft w:val="0"/>
          <w:marRight w:val="0"/>
          <w:marTop w:val="0"/>
          <w:marBottom w:val="0"/>
          <w:divBdr>
            <w:top w:val="single" w:sz="2" w:space="0" w:color="E3E3E3"/>
            <w:left w:val="single" w:sz="2" w:space="0" w:color="E3E3E3"/>
            <w:bottom w:val="single" w:sz="2" w:space="0" w:color="E3E3E3"/>
            <w:right w:val="single" w:sz="2" w:space="0" w:color="E3E3E3"/>
          </w:divBdr>
        </w:div>
        <w:div w:id="588277195">
          <w:marLeft w:val="0"/>
          <w:marRight w:val="0"/>
          <w:marTop w:val="0"/>
          <w:marBottom w:val="0"/>
          <w:divBdr>
            <w:top w:val="single" w:sz="2" w:space="0" w:color="E3E3E3"/>
            <w:left w:val="single" w:sz="2" w:space="0" w:color="E3E3E3"/>
            <w:bottom w:val="single" w:sz="2" w:space="0" w:color="E3E3E3"/>
            <w:right w:val="single" w:sz="2" w:space="0" w:color="E3E3E3"/>
          </w:divBdr>
        </w:div>
        <w:div w:id="4858977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8</Pages>
  <Words>1546</Words>
  <Characters>8815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JEFFREY PERESORES</dc:creator>
  <cp:keywords/>
  <dc:description/>
  <cp:lastModifiedBy>JEFFREY PERESORES</cp:lastModifiedBy>
  <cp:revision>2</cp:revision>
  <dcterms:created xsi:type="dcterms:W3CDTF">2026-01-19T05:23:00Z</dcterms:created>
  <dcterms:modified xsi:type="dcterms:W3CDTF">2026-01-19T06:21:00Z</dcterms:modified>
</cp:coreProperties>
</file>