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241BE22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129.35pt" o:ole="">
            <v:imagedata r:id="rId9" o:title=""/>
          </v:shape>
          <o:OLEObject Type="Embed" ProgID="ChemDraw.Document.6.0" ShapeID="_x0000_i1025" DrawAspect="Content" ObjectID="_1600520181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40B4FE74">
          <v:shape id="_x0000_i1026" type="#_x0000_t75" style="width:453.55pt;height:129.35pt" o:ole="">
            <v:imagedata r:id="rId9" o:title=""/>
          </v:shape>
          <o:OLEObject Type="Embed" ProgID="ChemDraw.Document.6.0" ShapeID="_x0000_i1026" DrawAspect="Content" ObjectID="_1600520182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bookmarkStart w:id="0" w:name="_GoBack"/>
      <w:bookmarkEnd w:id="0"/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2DC2FBFF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4A5BEFDA" w14:textId="73029419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>
        <w:object w:dxaOrig="18787" w:dyaOrig="5510" w14:anchorId="4964B097">
          <v:shape id="_x0000_i1027" type="#_x0000_t75" style="width:453.55pt;height:129.35pt" o:ole="">
            <v:imagedata r:id="rId9" o:title=""/>
          </v:shape>
          <o:OLEObject Type="Embed" ProgID="ChemDraw.Document.6.0" ShapeID="_x0000_i1027" DrawAspect="Content" ObjectID="_1600520183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4E73D55A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77777777" w:rsidR="007A71B9" w:rsidRPr="00387247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594AB" w14:textId="77777777" w:rsidR="0057552D" w:rsidRDefault="0057552D" w:rsidP="00581DDA">
      <w:r>
        <w:separator/>
      </w:r>
    </w:p>
  </w:endnote>
  <w:endnote w:type="continuationSeparator" w:id="0">
    <w:p w14:paraId="4EF5CEBA" w14:textId="77777777" w:rsidR="0057552D" w:rsidRDefault="0057552D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156A2">
      <w:rPr>
        <w:noProof/>
      </w:rPr>
      <w:t>2</w:t>
    </w:r>
    <w:r>
      <w:fldChar w:fldCharType="end"/>
    </w:r>
    <w:r>
      <w:t xml:space="preserve"> of </w:t>
    </w:r>
    <w:r w:rsidR="0057552D">
      <w:fldChar w:fldCharType="begin"/>
    </w:r>
    <w:r w:rsidR="0057552D">
      <w:instrText xml:space="preserve"> NUMPAGES  \* MERGEFORMAT </w:instrText>
    </w:r>
    <w:r w:rsidR="0057552D">
      <w:fldChar w:fldCharType="separate"/>
    </w:r>
    <w:r w:rsidR="000156A2">
      <w:rPr>
        <w:noProof/>
      </w:rPr>
      <w:t>4</w:t>
    </w:r>
    <w:r w:rsidR="0057552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C06B8" w14:textId="77777777" w:rsidR="0057552D" w:rsidRDefault="0057552D" w:rsidP="00581DDA">
      <w:r>
        <w:separator/>
      </w:r>
    </w:p>
  </w:footnote>
  <w:footnote w:type="continuationSeparator" w:id="0">
    <w:p w14:paraId="0FA042CB" w14:textId="77777777" w:rsidR="0057552D" w:rsidRDefault="0057552D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57552D">
      <w:fldChar w:fldCharType="begin"/>
    </w:r>
    <w:r w:rsidR="0057552D">
      <w:instrText xml:space="preserve"> MERGEFIELD =date \* MERGEFORMAT </w:instrText>
    </w:r>
    <w:r w:rsidR="0057552D">
      <w:fldChar w:fldCharType="separate"/>
    </w:r>
    <w:r w:rsidR="00480C1A">
      <w:rPr>
        <w:noProof/>
      </w:rPr>
      <w:t>«=date»</w:t>
    </w:r>
    <w:r w:rsidR="0057552D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156A2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65CD"/>
    <w:rsid w:val="0010166E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4004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7552D"/>
    <w:rsid w:val="0058119A"/>
    <w:rsid w:val="00581DDA"/>
    <w:rsid w:val="0058432D"/>
    <w:rsid w:val="005A61AE"/>
    <w:rsid w:val="005B0282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D6F29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60A4"/>
    <w:rsid w:val="007A71B9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26A3B"/>
    <w:rsid w:val="00842929"/>
    <w:rsid w:val="00847754"/>
    <w:rsid w:val="00850D6C"/>
    <w:rsid w:val="00864441"/>
    <w:rsid w:val="008813BA"/>
    <w:rsid w:val="00891789"/>
    <w:rsid w:val="00897C75"/>
    <w:rsid w:val="008A7A86"/>
    <w:rsid w:val="008B73BC"/>
    <w:rsid w:val="008B748C"/>
    <w:rsid w:val="008C6392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D0CBF"/>
    <w:rsid w:val="00DF7B63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299AFE-F290-5242-B914-04EA6D02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1261</Words>
  <Characters>7189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Microsoft Office User</cp:lastModifiedBy>
  <cp:revision>40</cp:revision>
  <dcterms:created xsi:type="dcterms:W3CDTF">2016-11-22T09:31:00Z</dcterms:created>
  <dcterms:modified xsi:type="dcterms:W3CDTF">2018-10-08T14:10:00Z</dcterms:modified>
</cp:coreProperties>
</file>