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A5A68">
      <w:r>
        <w:t>Diferente do exemplo anterior, agora conseguimos definir altura e largura desses elementos, coisas que não era possível no display block.</w:t>
      </w:r>
    </w:p>
    <w:p w:rsidR="005A5A68" w:rsidRDefault="005A5A68"/>
    <w:p w:rsidR="005A5A68" w:rsidRDefault="005A5A68">
      <w:r w:rsidRPr="005A5A68">
        <w:drawing>
          <wp:inline distT="0" distB="0" distL="0" distR="0" wp14:anchorId="57C7236B" wp14:editId="165DED06">
            <wp:extent cx="5400040" cy="18434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68" w:rsidRDefault="005A5A68">
      <w:r w:rsidRPr="005A5A68">
        <w:drawing>
          <wp:inline distT="0" distB="0" distL="0" distR="0" wp14:anchorId="0CCBBDCF" wp14:editId="3D80DA10">
            <wp:extent cx="5400040" cy="30835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68" w:rsidRDefault="005A5A68"/>
    <w:p w:rsidR="005A5A68" w:rsidRDefault="005A5A68">
      <w:r>
        <w:t>Ideal para quando a gente quiser fazer blocos de elementos.</w:t>
      </w:r>
    </w:p>
    <w:p w:rsidR="005A5A68" w:rsidRDefault="005A5A68">
      <w:bookmarkStart w:id="0" w:name="_GoBack"/>
      <w:bookmarkEnd w:id="0"/>
    </w:p>
    <w:sectPr w:rsidR="005A5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52E"/>
    <w:rsid w:val="000E452E"/>
    <w:rsid w:val="005A5A68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D1A8"/>
  <w15:chartTrackingRefBased/>
  <w15:docId w15:val="{6E777FE6-1285-437E-B043-1D41AA91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2025-08-08T15:10:00Z</dcterms:created>
  <dcterms:modified xsi:type="dcterms:W3CDTF">2025-08-08T15:18:00Z</dcterms:modified>
</cp:coreProperties>
</file>