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11FFC">
      <w:r>
        <w:t xml:space="preserve">Podemos usar o Display </w:t>
      </w:r>
      <w:proofErr w:type="spellStart"/>
      <w:r>
        <w:t>none</w:t>
      </w:r>
      <w:proofErr w:type="spellEnd"/>
      <w:r>
        <w:t xml:space="preserve">, mas também podemos usar o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que também serve para esconder</w:t>
      </w:r>
    </w:p>
    <w:p w:rsidR="00311FFC" w:rsidRDefault="00311FFC">
      <w:r w:rsidRPr="00311FFC">
        <w:drawing>
          <wp:inline distT="0" distB="0" distL="0" distR="0" wp14:anchorId="24D8EB74" wp14:editId="5385F2AF">
            <wp:extent cx="5400040" cy="2416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FC" w:rsidRDefault="00311FFC">
      <w:r>
        <w:t xml:space="preserve">Nesse exemplo usamos o </w:t>
      </w:r>
      <w:proofErr w:type="spellStart"/>
      <w:r>
        <w:t>none</w:t>
      </w:r>
      <w:proofErr w:type="spellEnd"/>
      <w:r>
        <w:t xml:space="preserve"> e escondemos o item 02</w:t>
      </w:r>
    </w:p>
    <w:p w:rsidR="00311FFC" w:rsidRDefault="00311FFC"/>
    <w:p w:rsidR="00311FFC" w:rsidRDefault="00311FFC">
      <w:r w:rsidRPr="00311FFC">
        <w:drawing>
          <wp:inline distT="0" distB="0" distL="0" distR="0" wp14:anchorId="5EC7805D" wp14:editId="7F66882F">
            <wp:extent cx="5400040" cy="26466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FC" w:rsidRDefault="00311FFC">
      <w:proofErr w:type="spellStart"/>
      <w:r>
        <w:t>Reparpa</w:t>
      </w:r>
      <w:proofErr w:type="spellEnd"/>
      <w:r>
        <w:t xml:space="preserve"> a diferença o espaço do item continua</w:t>
      </w:r>
      <w:bookmarkStart w:id="0" w:name="_GoBack"/>
      <w:bookmarkEnd w:id="0"/>
    </w:p>
    <w:sectPr w:rsidR="00311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57"/>
    <w:rsid w:val="00311FFC"/>
    <w:rsid w:val="00430657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D8D0"/>
  <w15:chartTrackingRefBased/>
  <w15:docId w15:val="{18C61E3F-041D-4E5E-A0C1-2A12D8B2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2025-08-09T03:34:00Z</dcterms:created>
  <dcterms:modified xsi:type="dcterms:W3CDTF">2025-08-09T03:36:00Z</dcterms:modified>
</cp:coreProperties>
</file>