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Benedito Castilhos:</w:t>
      </w:r>
    </w:p>
    <w:p>
      <w:pPr>
        <w:jc w:val="both"/>
      </w:pPr>
      <w:r>
        <w:t>Notificamos que na data 27/08/2021, tentamos entregar seu produto Computador NTC Intel Core i5-10400, 8GB, 240GB SSD, Micro ATX, Windows 10 SL - 8301 com o número de referência 683408115 no endereço 208 Cassandra Springs Apt. 818 de CEP 90680-826.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