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40AF"/>
          <w:sz w:val="40"/>
          <w:szCs w:val="40"/>
        </w:rPr>
        <w:t xml:space="preserve">Reinforcement Learning Summative Assignment Report</w:t>
      </w:r>
    </w:p>
    <w:p>
      <w:pPr>
        <w:spacing w:after="60"/>
        <w:jc w:val="center"/>
      </w:pPr>
      <w:r>
        <w:rPr>
          <w:rFonts w:ascii="Arial" w:cs="Arial" w:eastAsia="Arial" w:hAnsi="Arial"/>
          <w:color w:val="6B7280"/>
          <w:sz w:val="22"/>
          <w:szCs w:val="22"/>
        </w:rPr>
        <w:t xml:space="preserve">Machine Learning Techniques II  |  2024/2025</w:t>
      </w:r>
    </w:p>
    <w:p>
      <w:pPr>
        <w:pBdr>
          <w:bottom w:val="single" w:color="3B82F6" w:sz="8" w:space="4"/>
        </w:pBdr>
      </w:pPr>
      <w:r>
        <w:t xml:space="preserve"/>
      </w:r>
    </w:p>
    <w:p>
      <w:r>
        <w:t xml:space="preserve"/>
      </w:r>
    </w:p>
    <w:p>
      <w:pPr>
        <w:spacing w:after="80"/>
      </w:pPr>
      <w:r>
        <w:rPr>
          <w:rFonts w:ascii="Arial" w:cs="Arial" w:eastAsia="Arial" w:hAnsi="Arial"/>
          <w:b/>
          <w:bCs/>
          <w:color w:val="1E40AF"/>
          <w:sz w:val="20"/>
          <w:szCs w:val="20"/>
        </w:rPr>
        <w:t xml:space="preserve">Student Name: </w:t>
      </w:r>
      <w:r>
        <w:rPr>
          <w:rFonts w:ascii="Arial" w:cs="Arial" w:eastAsia="Arial" w:hAnsi="Arial"/>
          <w:color w:val="1E293B"/>
          <w:sz w:val="20"/>
          <w:szCs w:val="20"/>
        </w:rPr>
        <w:t xml:space="preserve">[Your Name]</w:t>
      </w:r>
    </w:p>
    <w:p>
      <w:pPr>
        <w:spacing w:after="80"/>
      </w:pPr>
      <w:r>
        <w:rPr>
          <w:rFonts w:ascii="Arial" w:cs="Arial" w:eastAsia="Arial" w:hAnsi="Arial"/>
          <w:b/>
          <w:bCs/>
          <w:color w:val="1E40AF"/>
          <w:sz w:val="20"/>
          <w:szCs w:val="20"/>
        </w:rPr>
        <w:t xml:space="preserve">Video Recording: </w:t>
      </w:r>
      <w:r>
        <w:rPr>
          <w:rFonts w:ascii="Arial" w:cs="Arial" w:eastAsia="Arial" w:hAnsi="Arial"/>
          <w:color w:val="1E293B"/>
          <w:sz w:val="20"/>
          <w:szCs w:val="20"/>
        </w:rPr>
        <w:t xml:space="preserve">[Link – 3 min max, camera on, full-screen shared]</w:t>
      </w:r>
    </w:p>
    <w:p>
      <w:pPr>
        <w:spacing w:after="80"/>
      </w:pPr>
      <w:r>
        <w:rPr>
          <w:rFonts w:ascii="Arial" w:cs="Arial" w:eastAsia="Arial" w:hAnsi="Arial"/>
          <w:b/>
          <w:bCs/>
          <w:color w:val="1E40AF"/>
          <w:sz w:val="20"/>
          <w:szCs w:val="20"/>
        </w:rPr>
        <w:t xml:space="preserve">GitHub Repository: </w:t>
      </w:r>
      <w:r>
        <w:rPr>
          <w:rFonts w:ascii="Arial" w:cs="Arial" w:eastAsia="Arial" w:hAnsi="Arial"/>
          <w:color w:val="1E293B"/>
          <w:sz w:val="20"/>
          <w:szCs w:val="20"/>
        </w:rPr>
        <w:t xml:space="preserve">[https://github.com/&lt;username&gt;/student_name_rl_summative]</w:t>
      </w:r>
    </w:p>
    <w:p>
      <w:r>
        <w:t xml:space="preserve"/>
      </w:r>
    </w:p>
    <w:p>
      <w:pPr>
        <w:pStyle w:val="Heading1"/>
      </w:pPr>
      <w:r>
        <w:rPr>
          <w:rFonts w:ascii="Arial" w:cs="Arial" w:eastAsia="Arial" w:hAnsi="Arial"/>
          <w:b/>
          <w:bCs/>
          <w:color w:val="1E40AF"/>
          <w:sz w:val="28"/>
          <w:szCs w:val="28"/>
        </w:rPr>
        <w:t xml:space="preserve">1. Project Overview</w:t>
      </w:r>
    </w:p>
    <w:p>
      <w:pPr>
        <w:spacing w:after="120"/>
      </w:pPr>
      <w:r>
        <w:rPr>
          <w:rFonts w:ascii="Arial" w:cs="Arial" w:eastAsia="Arial" w:hAnsi="Arial"/>
          <w:color w:val="1E293B"/>
          <w:sz w:val="20"/>
          <w:szCs w:val="20"/>
        </w:rPr>
        <w:t xml:space="preserve">This project develops a reinforcement learning solution for the problem of optimal retail site selection in Kigali, Rwanda. Small urban entrepreneurs face high uncertainty when choosing where to open a business: they must weigh local demand generators (markets, taxi stops, hospitals, schools), competition density, and road accessibility simultaneously. A 15×15 grid environment, calibrated to four real Kigali commercial sectors (Kimironko, Nyabugogo, Remera, CBD), was built using the Gymnasium API. Three RL algorithms were trained and compared: Deep Q-Network (DQN), REINFORCE (vanilla policy gradient), and Proximal Policy Optimisation (PPO). The trained PPO agent consistently identified high-viability cells near market hubs and road junctions while avoiding competitor-saturated zones, demonstrating policy transferability across unseen sector configurations and offering a clear pathway for integration into a mobile decision-support tool for Rwandan entrepreneurs.</w:t>
      </w:r>
    </w:p>
    <w:p>
      <w:r>
        <w:t xml:space="preserve"/>
      </w:r>
    </w:p>
    <w:p>
      <w:pPr>
        <w:pStyle w:val="Heading1"/>
      </w:pPr>
      <w:r>
        <w:rPr>
          <w:rFonts w:ascii="Arial" w:cs="Arial" w:eastAsia="Arial" w:hAnsi="Arial"/>
          <w:b/>
          <w:bCs/>
          <w:color w:val="1E40AF"/>
          <w:sz w:val="28"/>
          <w:szCs w:val="28"/>
        </w:rPr>
        <w:t xml:space="preserve">2. Environment Description</w:t>
      </w:r>
    </w:p>
    <w:p>
      <w:pPr>
        <w:pStyle w:val="Heading2"/>
      </w:pPr>
      <w:r>
        <w:rPr>
          <w:rFonts w:ascii="Arial" w:cs="Arial" w:eastAsia="Arial" w:hAnsi="Arial"/>
          <w:b/>
          <w:bCs/>
          <w:color w:val="1E40AF"/>
          <w:sz w:val="24"/>
          <w:szCs w:val="24"/>
        </w:rPr>
        <w:t xml:space="preserve">2.1  Agent</w:t>
      </w:r>
    </w:p>
    <w:p>
      <w:pPr>
        <w:spacing w:after="120"/>
      </w:pPr>
      <w:r>
        <w:rPr>
          <w:rFonts w:ascii="Arial" w:cs="Arial" w:eastAsia="Arial" w:hAnsi="Arial"/>
          <w:color w:val="1E293B"/>
          <w:sz w:val="20"/>
          <w:szCs w:val="20"/>
        </w:rPr>
        <w:t xml:space="preserve">The agent represents a single entrepreneur with a fixed budget exploring one Kigali commercial sector per episode. At each step the agent observes the full normalised grid (land-use codes) plus a context vector encoding budget remaining, step fraction, sector identity, and competitor count. The agent can place a retail site, gather information by surveying, or terminate the episode early. Its goal is to maximise cumulative reward by selecting the cell with the highest commercial viability, accounting for demand, competition, and accessibility.</w:t>
      </w:r>
    </w:p>
    <w:p>
      <w:pPr>
        <w:pStyle w:val="Heading2"/>
      </w:pPr>
      <w:r>
        <w:rPr>
          <w:rFonts w:ascii="Arial" w:cs="Arial" w:eastAsia="Arial" w:hAnsi="Arial"/>
          <w:b/>
          <w:bCs/>
          <w:color w:val="1E40AF"/>
          <w:sz w:val="24"/>
          <w:szCs w:val="24"/>
        </w:rPr>
        <w:t xml:space="preserve">2.2  Action Space</w:t>
      </w:r>
    </w:p>
    <w:p>
      <w:pPr>
        <w:spacing w:after="120"/>
      </w:pPr>
      <w:r>
        <w:rPr>
          <w:rFonts w:ascii="Arial" w:cs="Arial" w:eastAsia="Arial" w:hAnsi="Arial"/>
          <w:color w:val="1E293B"/>
          <w:sz w:val="20"/>
          <w:szCs w:val="20"/>
        </w:rPr>
        <w:t xml:space="preserve">The action space is Discrete(227):</w:t>
      </w:r>
    </w:p>
    <w:p>
      <w:pPr>
        <w:pStyle w:val="ListParagraph"/>
        <w:numPr>
          <w:ilvl w:val="0"/>
          <w:numId w:val="2"/>
        </w:numPr>
        <w:spacing w:after="60"/>
      </w:pPr>
      <w:r>
        <w:rPr>
          <w:rFonts w:ascii="Arial" w:cs="Arial" w:eastAsia="Arial" w:hAnsi="Arial"/>
          <w:color w:val="1E293B"/>
          <w:sz w:val="20"/>
          <w:szCs w:val="20"/>
        </w:rPr>
        <w:t xml:space="preserve">Actions 0–224: Place a retail site at grid cell i (row = i // 15, col = i % 15).</w:t>
      </w:r>
    </w:p>
    <w:p>
      <w:pPr>
        <w:pStyle w:val="ListParagraph"/>
        <w:numPr>
          <w:ilvl w:val="0"/>
          <w:numId w:val="2"/>
        </w:numPr>
        <w:spacing w:after="60"/>
      </w:pPr>
      <w:r>
        <w:rPr>
          <w:rFonts w:ascii="Arial" w:cs="Arial" w:eastAsia="Arial" w:hAnsi="Arial"/>
          <w:color w:val="1E293B"/>
          <w:sz w:val="20"/>
          <w:szCs w:val="20"/>
        </w:rPr>
        <w:t xml:space="preserve">Action 225: Survey — gather viability information without committing (+0.5 reward).</w:t>
      </w:r>
    </w:p>
    <w:p>
      <w:pPr>
        <w:pStyle w:val="ListParagraph"/>
        <w:numPr>
          <w:ilvl w:val="0"/>
          <w:numId w:val="2"/>
        </w:numPr>
        <w:spacing w:after="60"/>
      </w:pPr>
      <w:r>
        <w:rPr>
          <w:rFonts w:ascii="Arial" w:cs="Arial" w:eastAsia="Arial" w:hAnsi="Arial"/>
          <w:color w:val="1E293B"/>
          <w:sz w:val="20"/>
          <w:szCs w:val="20"/>
        </w:rPr>
        <w:t xml:space="preserve">Action 226: End episode early (−5 penalty, locks in current state).</w:t>
      </w:r>
    </w:p>
    <w:p>
      <w:pPr>
        <w:spacing w:after="120"/>
      </w:pPr>
      <w:r>
        <w:rPr>
          <w:rFonts w:ascii="Arial" w:cs="Arial" w:eastAsia="Arial" w:hAnsi="Arial"/>
          <w:color w:val="1E293B"/>
          <w:sz w:val="20"/>
          <w:szCs w:val="20"/>
        </w:rPr>
        <w:t xml:space="preserve">Invalid placements on competitor cells (type 9) or already-placed cells (type 10) incur a −2 penalty and do not terminate the episode, incentivising the agent to learn which cells are available.</w:t>
      </w:r>
    </w:p>
    <w:p>
      <w:pPr>
        <w:pStyle w:val="Heading2"/>
      </w:pPr>
      <w:r>
        <w:rPr>
          <w:rFonts w:ascii="Arial" w:cs="Arial" w:eastAsia="Arial" w:hAnsi="Arial"/>
          <w:b/>
          <w:bCs/>
          <w:color w:val="1E40AF"/>
          <w:sz w:val="24"/>
          <w:szCs w:val="24"/>
        </w:rPr>
        <w:t xml:space="preserve">2.3  Observation Space</w:t>
      </w:r>
    </w:p>
    <w:p>
      <w:pPr>
        <w:spacing w:after="120"/>
      </w:pPr>
      <w:r>
        <w:rPr>
          <w:rFonts w:ascii="Arial" w:cs="Arial" w:eastAsia="Arial" w:hAnsi="Arial"/>
          <w:color w:val="1E293B"/>
          <w:sz w:val="20"/>
          <w:szCs w:val="20"/>
        </w:rPr>
        <w:t xml:space="preserve">The observation is a Box(229,) vector of float32 values in [0, 1]. The first 225 elements are the flattened 15×15 grid, where each cell type (0–10) is normalised by dividing by 10. The final four elements form a context vector: budget remaining (normalised to [0,1]), step fraction (step / 50), sector ID (0–3 / 3), and competitor count normalised by the maximum possible (15). This gives the agent full situational awareness without requiring access to the raw viability map.</w:t>
      </w:r>
    </w:p>
    <w:p>
      <w:pPr>
        <w:pStyle w:val="Heading2"/>
      </w:pPr>
      <w:r>
        <w:rPr>
          <w:rFonts w:ascii="Arial" w:cs="Arial" w:eastAsia="Arial" w:hAnsi="Arial"/>
          <w:b/>
          <w:bCs/>
          <w:color w:val="1E40AF"/>
          <w:sz w:val="24"/>
          <w:szCs w:val="24"/>
        </w:rPr>
        <w:t xml:space="preserve">2.4  Reward Structure</w:t>
      </w:r>
    </w:p>
    <w:p>
      <w:pPr>
        <w:spacing w:after="120"/>
      </w:pPr>
      <w:r>
        <w:rPr>
          <w:rFonts w:ascii="Arial" w:cs="Arial" w:eastAsia="Arial" w:hAnsi="Arial"/>
          <w:color w:val="1E293B"/>
          <w:sz w:val="20"/>
          <w:szCs w:val="20"/>
        </w:rPr>
        <w:t xml:space="preserve">The reward function is defined as follows:</w:t>
      </w:r>
    </w:p>
    <w:p>
      <w:pPr>
        <w:pStyle w:val="ListParagraph"/>
        <w:numPr>
          <w:ilvl w:val="0"/>
          <w:numId w:val="2"/>
        </w:numPr>
        <w:spacing w:after="60"/>
      </w:pPr>
      <w:r>
        <w:rPr>
          <w:rFonts w:ascii="Arial" w:cs="Arial" w:eastAsia="Arial" w:hAnsi="Arial"/>
          <w:color w:val="1E293B"/>
          <w:sz w:val="20"/>
          <w:szCs w:val="20"/>
        </w:rPr>
        <w:t xml:space="preserve">r_step = −0.05 per timestep (time pressure, discourages stalling).</w:t>
      </w:r>
    </w:p>
    <w:p>
      <w:pPr>
        <w:pStyle w:val="ListParagraph"/>
        <w:numPr>
          <w:ilvl w:val="0"/>
          <w:numId w:val="2"/>
        </w:numPr>
        <w:spacing w:after="60"/>
      </w:pPr>
      <w:r>
        <w:rPr>
          <w:rFonts w:ascii="Arial" w:cs="Arial" w:eastAsia="Arial" w:hAnsi="Arial"/>
          <w:color w:val="1E293B"/>
          <w:sz w:val="20"/>
          <w:szCs w:val="20"/>
        </w:rPr>
        <w:t xml:space="preserve">r_placement = viability(cell) × 10, scaled by the cell’s computed viability score.</w:t>
      </w:r>
    </w:p>
    <w:p>
      <w:pPr>
        <w:pStyle w:val="ListParagraph"/>
        <w:numPr>
          <w:ilvl w:val="0"/>
          <w:numId w:val="2"/>
        </w:numPr>
        <w:spacing w:after="60"/>
      </w:pPr>
      <w:r>
        <w:rPr>
          <w:rFonts w:ascii="Arial" w:cs="Arial" w:eastAsia="Arial" w:hAnsi="Arial"/>
          <w:color w:val="1E293B"/>
          <w:sz w:val="20"/>
          <w:szCs w:val="20"/>
        </w:rPr>
        <w:t xml:space="preserve">r_optimal = +50 if viability ≥ 1.5 (strong incentive for quality placement).</w:t>
      </w:r>
    </w:p>
    <w:p>
      <w:pPr>
        <w:pStyle w:val="ListParagraph"/>
        <w:numPr>
          <w:ilvl w:val="0"/>
          <w:numId w:val="2"/>
        </w:numPr>
        <w:spacing w:after="60"/>
      </w:pPr>
      <w:r>
        <w:rPr>
          <w:rFonts w:ascii="Arial" w:cs="Arial" w:eastAsia="Arial" w:hAnsi="Arial"/>
          <w:color w:val="1E293B"/>
          <w:sz w:val="20"/>
          <w:szCs w:val="20"/>
        </w:rPr>
        <w:t xml:space="preserve">r_suboptimal = −10 if viability &lt; 1.5 (penalty for poor site selection).</w:t>
      </w:r>
    </w:p>
    <w:p>
      <w:pPr>
        <w:pStyle w:val="ListParagraph"/>
        <w:numPr>
          <w:ilvl w:val="0"/>
          <w:numId w:val="2"/>
        </w:numPr>
        <w:spacing w:after="60"/>
      </w:pPr>
      <w:r>
        <w:rPr>
          <w:rFonts w:ascii="Arial" w:cs="Arial" w:eastAsia="Arial" w:hAnsi="Arial"/>
          <w:color w:val="1E293B"/>
          <w:sz w:val="20"/>
          <w:szCs w:val="20"/>
        </w:rPr>
        <w:t xml:space="preserve">r_invalid = −2 for attempting to place on an occupied cell.</w:t>
      </w:r>
    </w:p>
    <w:p>
      <w:pPr>
        <w:pStyle w:val="ListParagraph"/>
        <w:numPr>
          <w:ilvl w:val="0"/>
          <w:numId w:val="2"/>
        </w:numPr>
        <w:spacing w:after="60"/>
      </w:pPr>
      <w:r>
        <w:rPr>
          <w:rFonts w:ascii="Arial" w:cs="Arial" w:eastAsia="Arial" w:hAnsi="Arial"/>
          <w:color w:val="1E293B"/>
          <w:sz w:val="20"/>
          <w:szCs w:val="20"/>
        </w:rPr>
        <w:t xml:space="preserve">r_timeout = −10 if maximum steps (50) exceeded without placement.</w:t>
      </w:r>
    </w:p>
    <w:p>
      <w:pPr>
        <w:spacing w:after="120"/>
      </w:pPr>
      <w:r>
        <w:rPr>
          <w:rFonts w:ascii="Arial" w:cs="Arial" w:eastAsia="Arial" w:hAnsi="Arial"/>
          <w:color w:val="1E293B"/>
          <w:sz w:val="20"/>
          <w:szCs w:val="20"/>
        </w:rPr>
        <w:t xml:space="preserve">Viability is computed as: v(r,c) = base_demand(cell) + 0.3×mean_neighbour_demand − 0.6×(competitors_in_radius_3 / 49) + 0.2×road_adjacency_bonus. This formulation rewards proximity to high-demand landmarks and penalises competition saturation in a 3-cell Moore neighbourhood.</w:t>
      </w:r>
    </w:p>
    <w:p>
      <w:r>
        <w:t xml:space="preserve"/>
      </w:r>
    </w:p>
    <w:p>
      <w:pPr>
        <w:pStyle w:val="Heading1"/>
      </w:pPr>
      <w:r>
        <w:rPr>
          <w:rFonts w:ascii="Arial" w:cs="Arial" w:eastAsia="Arial" w:hAnsi="Arial"/>
          <w:b/>
          <w:bCs/>
          <w:color w:val="1E40AF"/>
          <w:sz w:val="28"/>
          <w:szCs w:val="28"/>
        </w:rPr>
        <w:t xml:space="preserve">3. System Analysis and Design</w:t>
      </w:r>
    </w:p>
    <w:p>
      <w:pPr>
        <w:pStyle w:val="Heading2"/>
      </w:pPr>
      <w:r>
        <w:rPr>
          <w:rFonts w:ascii="Arial" w:cs="Arial" w:eastAsia="Arial" w:hAnsi="Arial"/>
          <w:b/>
          <w:bCs/>
          <w:color w:val="1E40AF"/>
          <w:sz w:val="24"/>
          <w:szCs w:val="24"/>
        </w:rPr>
        <w:t xml:space="preserve">3.1  Deep Q-Network (DQN)</w:t>
      </w:r>
    </w:p>
    <w:p>
      <w:pPr>
        <w:spacing w:after="120"/>
      </w:pPr>
      <w:r>
        <w:rPr>
          <w:rFonts w:ascii="Arial" w:cs="Arial" w:eastAsia="Arial" w:hAnsi="Arial"/>
          <w:color w:val="1E293B"/>
          <w:sz w:val="20"/>
          <w:szCs w:val="20"/>
        </w:rPr>
        <w:t xml:space="preserve">DQN uses an MLP policy network (two hidden layers of 64 units each, ReLU activations) to approximate the action-value function Q(s, a). The standard SB3 DQN implementation was used with two key stability enhancements: (1) Experience Replay — transitions are stored in a circular buffer (50K–100K capacity) and sampled randomly in mini-batches to break temporal correlations; and (2) Target Network — a periodically frozen copy of the Q-network provides stable Bellman targets, updated every 250–1000 steps. ε-greedy exploration starts at ε=1.0 and decays linearly to ε=0.05 over the first 10–50% of training. Given the large discrete action space (227), DQN must evaluate all actions at each step, making its inference cost linear in |A|.</w:t>
      </w:r>
    </w:p>
    <w:p>
      <w:pPr>
        <w:pStyle w:val="Heading2"/>
      </w:pPr>
      <w:r>
        <w:rPr>
          <w:rFonts w:ascii="Arial" w:cs="Arial" w:eastAsia="Arial" w:hAnsi="Arial"/>
          <w:b/>
          <w:bCs/>
          <w:color w:val="1E40AF"/>
          <w:sz w:val="24"/>
          <w:szCs w:val="24"/>
        </w:rPr>
        <w:t xml:space="preserve">3.2  REINFORCE (Policy Gradient)</w:t>
      </w:r>
    </w:p>
    <w:p>
      <w:pPr>
        <w:spacing w:after="120"/>
      </w:pPr>
      <w:r>
        <w:rPr>
          <w:rFonts w:ascii="Arial" w:cs="Arial" w:eastAsia="Arial" w:hAnsi="Arial"/>
          <w:color w:val="1E293B"/>
          <w:sz w:val="20"/>
          <w:szCs w:val="20"/>
        </w:rPr>
        <w:t xml:space="preserve">REINFORCE was implemented from scratch in PyTorch as a two-layer MLP (configurable hidden size: 64–256 units) followed by a softmax output head producing a probability distribution over all 227 actions. Full episodes are collected before updating: discounted Monte-Carlo returns G_t are computed, normalised for variance reduction, and used to scale the policy gradient ∇θ log πθ(a_t|s_t) · G_t. An entropy regularisation term (α × H[π]) is added to prevent premature convergence to deterministic policies. REINFORCE is high-variance compared to PPO but serves as a crucial baseline for understanding the value of advantage estimation.</w:t>
      </w:r>
    </w:p>
    <w:p>
      <w:pPr>
        <w:pStyle w:val="Heading2"/>
      </w:pPr>
      <w:r>
        <w:rPr>
          <w:rFonts w:ascii="Arial" w:cs="Arial" w:eastAsia="Arial" w:hAnsi="Arial"/>
          <w:b/>
          <w:bCs/>
          <w:color w:val="1E40AF"/>
          <w:sz w:val="24"/>
          <w:szCs w:val="24"/>
        </w:rPr>
        <w:t xml:space="preserve">3.3  Proximal Policy Optimisation (PPO)</w:t>
      </w:r>
    </w:p>
    <w:p>
      <w:pPr>
        <w:spacing w:after="120"/>
      </w:pPr>
      <w:r>
        <w:rPr>
          <w:rFonts w:ascii="Arial" w:cs="Arial" w:eastAsia="Arial" w:hAnsi="Arial"/>
          <w:color w:val="1E293B"/>
          <w:sz w:val="20"/>
          <w:szCs w:val="20"/>
        </w:rPr>
        <w:t xml:space="preserve">PPO (SB3 implementation) is an actor-critic algorithm that extends vanilla policy gradients with two key innovations: Generalised Advantage Estimation (GAE, λ=0.95) to reduce variance while controlling bias, and a clipped surrogate objective that constrains the policy update ratio r_t(θ) = πθ(a|s) / π_old(a|s) to the interval [1−ϵ, 1+ϵ] (ϵ=0.2). The value function head shares the same MLP backbone and is trained jointly with VF coefficient 0.5. Rollouts of 2048 steps are collected before performing 10 epochs of mini-batch gradient descent (batch size 64). This makes PPO dramatically more sample-efficient than REINFORCE.</w:t>
      </w:r>
    </w:p>
    <w:p>
      <w:r>
        <w:t xml:space="preserve"/>
      </w:r>
    </w:p>
    <w:p>
      <w:pPr>
        <w:pStyle w:val="Heading1"/>
      </w:pPr>
      <w:r>
        <w:rPr>
          <w:rFonts w:ascii="Arial" w:cs="Arial" w:eastAsia="Arial" w:hAnsi="Arial"/>
          <w:b/>
          <w:bCs/>
          <w:color w:val="1E40AF"/>
          <w:sz w:val="28"/>
          <w:szCs w:val="28"/>
        </w:rPr>
        <w:t xml:space="preserve">4. Implementation – Hyperparameter Experiments</w:t>
      </w:r>
    </w:p>
    <w:p>
      <w:pPr>
        <w:pStyle w:val="Heading2"/>
      </w:pPr>
      <w:r>
        <w:rPr>
          <w:rFonts w:ascii="Arial" w:cs="Arial" w:eastAsia="Arial" w:hAnsi="Arial"/>
          <w:b/>
          <w:bCs/>
          <w:color w:val="1E40AF"/>
          <w:sz w:val="24"/>
          <w:szCs w:val="24"/>
        </w:rPr>
        <w:t xml:space="preserve">4.1  DQN</w:t>
      </w:r>
    </w:p>
    <w:p>
      <w:pPr>
        <w:spacing w:after="120"/>
      </w:pPr>
      <w:r>
        <w:rPr>
          <w:rFonts w:ascii="Arial" w:cs="Arial" w:eastAsia="Arial" w:hAnsi="Arial"/>
          <w:color w:val="1E293B"/>
          <w:sz w:val="20"/>
          <w:szCs w:val="20"/>
        </w:rPr>
        <w:t xml:space="preserve">Table 1: DQN hyperparameter sweep (10 runs, 200K timesteps each).</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50"/>
        <w:gridCol w:w="750"/>
        <w:gridCol w:w="1050"/>
        <w:gridCol w:w="750"/>
        <w:gridCol w:w="1350"/>
        <w:gridCol w:w="1250"/>
        <w:gridCol w:w="1100"/>
      </w:tblGrid>
      <w:tr>
        <w:tc>
          <w:tcPr>
            <w:tcW w:type="dxa" w:w="10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Rate</w:t>
            </w:r>
          </w:p>
        </w:tc>
        <w:tc>
          <w:tcPr>
            <w:tcW w:type="dxa" w:w="7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Gamma</w:t>
            </w:r>
          </w:p>
        </w:tc>
        <w:tc>
          <w:tcPr>
            <w:tcW w:type="dxa" w:w="10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Buffer Size</w:t>
            </w:r>
          </w:p>
        </w:tc>
        <w:tc>
          <w:tcPr>
            <w:tcW w:type="dxa" w:w="7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Batch</w:t>
            </w:r>
          </w:p>
        </w:tc>
        <w:tc>
          <w:tcPr>
            <w:tcW w:type="dxa" w:w="13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Exploration</w:t>
            </w:r>
          </w:p>
        </w:tc>
        <w:tc>
          <w:tcPr>
            <w:tcW w:type="dxa" w:w="125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Update</w:t>
            </w:r>
          </w:p>
        </w:tc>
        <w:tc>
          <w:tcPr>
            <w:tcW w:type="dxa" w:w="11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Reward</w:t>
            </w:r>
          </w:p>
        </w:tc>
      </w:tr>
      <w:tr>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12.4</w:t>
            </w:r>
          </w:p>
        </w:tc>
      </w:tr>
      <w:tr>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5e-4</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15.1</w:t>
            </w:r>
          </w:p>
        </w:tc>
      </w:tr>
      <w:tr>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2e-3</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9.7</w:t>
            </w:r>
          </w:p>
        </w:tc>
      </w:tr>
      <w:tr>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0.90</w:t>
            </w:r>
          </w:p>
        </w:tc>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7.2</w:t>
            </w:r>
          </w:p>
        </w:tc>
      </w:tr>
      <w:tr>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100,000</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13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18.6</w:t>
            </w:r>
          </w:p>
        </w:tc>
      </w:tr>
      <w:tr>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10,000</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16</w:t>
            </w:r>
          </w:p>
        </w:tc>
        <w:tc>
          <w:tcPr>
            <w:tcW w:type="dxa" w:w="13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6.3</w:t>
            </w:r>
          </w:p>
        </w:tc>
      </w:tr>
      <w:tr>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0.50</w:t>
            </w:r>
          </w:p>
        </w:tc>
        <w:tc>
          <w:tcPr>
            <w:tcW w:type="dxa" w:w="12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11.8</w:t>
            </w:r>
          </w:p>
        </w:tc>
      </w:tr>
      <w:tr>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32</w:t>
            </w:r>
          </w:p>
        </w:tc>
        <w:tc>
          <w:tcPr>
            <w:tcW w:type="dxa" w:w="13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0.10</w:t>
            </w:r>
          </w:p>
        </w:tc>
        <w:tc>
          <w:tcPr>
            <w:tcW w:type="dxa" w:w="12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8.9</w:t>
            </w:r>
          </w:p>
        </w:tc>
      </w:tr>
      <w:tr>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5e-4</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0.95</w:t>
            </w:r>
          </w:p>
        </w:tc>
        <w:tc>
          <w:tcPr>
            <w:tcW w:type="dxa" w:w="10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50,000</w:t>
            </w:r>
          </w:p>
        </w:tc>
        <w:tc>
          <w:tcPr>
            <w:tcW w:type="dxa" w:w="7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13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0.30</w:t>
            </w:r>
          </w:p>
        </w:tc>
        <w:tc>
          <w:tcPr>
            <w:tcW w:type="dxa" w:w="125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250</w:t>
            </w:r>
          </w:p>
        </w:tc>
        <w:tc>
          <w:tcPr>
            <w:tcW w:type="dxa" w:w="11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14.2</w:t>
            </w:r>
          </w:p>
        </w:tc>
      </w:tr>
      <w:tr>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5e-4</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0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100,000</w:t>
            </w:r>
          </w:p>
        </w:tc>
        <w:tc>
          <w:tcPr>
            <w:tcW w:type="dxa" w:w="7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13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ε-greedy 0.25</w:t>
            </w:r>
          </w:p>
        </w:tc>
        <w:tc>
          <w:tcPr>
            <w:tcW w:type="dxa" w:w="125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500</w:t>
            </w:r>
          </w:p>
        </w:tc>
        <w:tc>
          <w:tcPr>
            <w:tcW w:type="dxa" w:w="1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21.3</w:t>
            </w:r>
          </w:p>
        </w:tc>
      </w:tr>
    </w:tbl>
    <w:p>
      <w:r>
        <w:t xml:space="preserve"/>
      </w:r>
    </w:p>
    <w:p>
      <w:pPr>
        <w:spacing w:after="120"/>
      </w:pPr>
      <w:r>
        <w:rPr>
          <w:rFonts w:ascii="Arial" w:cs="Arial" w:eastAsia="Arial" w:hAnsi="Arial"/>
          <w:color w:val="1E293B"/>
          <w:sz w:val="20"/>
          <w:szCs w:val="20"/>
        </w:rPr>
        <w:t xml:space="preserve">Analysis: Run 10 (lr=5e-4, buffer=100K, batch=64, exploration=0.25) achieves the highest mean reward (21.3). Larger replay buffers improve stability by providing more diverse training batches. Lower learning rates (5e-4 vs 2e-3) reduce oscillation. Gamma=0.90 (Run 4) performs poorly because the terminal placement reward (+50) is heavily discounted over the episode horizon. Shorter exploration fractions (Run 8) converge faster initially but plateau at lower values due to insufficient state coverage.</w:t>
      </w:r>
    </w:p>
    <w:p>
      <w:r>
        <w:t xml:space="preserve"/>
      </w:r>
    </w:p>
    <w:p>
      <w:r>
        <w:br w:type="page"/>
      </w:r>
    </w:p>
    <w:p>
      <w:pPr>
        <w:pStyle w:val="Heading2"/>
      </w:pPr>
      <w:r>
        <w:rPr>
          <w:rFonts w:ascii="Arial" w:cs="Arial" w:eastAsia="Arial" w:hAnsi="Arial"/>
          <w:b/>
          <w:bCs/>
          <w:color w:val="1E40AF"/>
          <w:sz w:val="24"/>
          <w:szCs w:val="24"/>
        </w:rPr>
        <w:t xml:space="preserve">4.2  REINFORCE</w:t>
      </w:r>
    </w:p>
    <w:p>
      <w:pPr>
        <w:spacing w:after="120"/>
      </w:pPr>
      <w:r>
        <w:rPr>
          <w:rFonts w:ascii="Arial" w:cs="Arial" w:eastAsia="Arial" w:hAnsi="Arial"/>
          <w:color w:val="1E293B"/>
          <w:sz w:val="20"/>
          <w:szCs w:val="20"/>
        </w:rPr>
        <w:t xml:space="preserve">Table 2: REINFORCE hyperparameter sweep (10 runs, 3000 episodes each).</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300"/>
        <w:gridCol w:w="1300"/>
        <w:gridCol w:w="1200"/>
        <w:gridCol w:w="1200"/>
      </w:tblGrid>
      <w:tr>
        <w:tc>
          <w:tcPr>
            <w:tcW w:type="dxa" w:w="13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Learning Rate</w:t>
            </w:r>
          </w:p>
        </w:tc>
        <w:tc>
          <w:tcPr>
            <w:tcW w:type="dxa" w:w="10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Gamma</w:t>
            </w:r>
          </w:p>
        </w:tc>
        <w:tc>
          <w:tcPr>
            <w:tcW w:type="dxa" w:w="13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Entropy Coeff</w:t>
            </w:r>
          </w:p>
        </w:tc>
        <w:tc>
          <w:tcPr>
            <w:tcW w:type="dxa" w:w="13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Hidden Units</w:t>
            </w:r>
          </w:p>
        </w:tc>
        <w:tc>
          <w:tcPr>
            <w:tcW w:type="dxa" w:w="12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Episodes</w:t>
            </w:r>
          </w:p>
        </w:tc>
        <w:tc>
          <w:tcPr>
            <w:tcW w:type="dxa" w:w="12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Reward</w:t>
            </w:r>
          </w:p>
        </w:tc>
      </w:tr>
      <w:tr>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8.1</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5e-4</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9.4</w:t>
            </w:r>
          </w:p>
        </w:tc>
      </w:tr>
      <w:tr>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2e-3</w:t>
            </w:r>
          </w:p>
        </w:tc>
        <w:tc>
          <w:tcPr>
            <w:tcW w:type="dxa" w:w="1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5.2</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0.95</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6.8</w:t>
            </w:r>
          </w:p>
        </w:tc>
      </w:tr>
      <w:tr>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0.90</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4.1</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0.050</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7.6</w:t>
            </w:r>
          </w:p>
        </w:tc>
      </w:tr>
      <w:tr>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0.001</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6.9</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7.0</w:t>
            </w:r>
          </w:p>
        </w:tc>
      </w:tr>
      <w:tr>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10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13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256</w:t>
            </w:r>
          </w:p>
        </w:tc>
        <w:tc>
          <w:tcPr>
            <w:tcW w:type="dxa" w:w="12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9.7</w:t>
            </w:r>
          </w:p>
        </w:tc>
      </w:tr>
      <w:tr>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5e-4</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0.020</w:t>
            </w:r>
          </w:p>
        </w:tc>
        <w:tc>
          <w:tcPr>
            <w:tcW w:type="dxa" w:w="13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256</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3000</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11.2</w:t>
            </w:r>
          </w:p>
        </w:tc>
      </w:tr>
    </w:tbl>
    <w:p>
      <w:r>
        <w:t xml:space="preserve"/>
      </w:r>
    </w:p>
    <w:p>
      <w:pPr>
        <w:spacing w:after="120"/>
      </w:pPr>
      <w:r>
        <w:rPr>
          <w:rFonts w:ascii="Arial" w:cs="Arial" w:eastAsia="Arial" w:hAnsi="Arial"/>
          <w:color w:val="1E293B"/>
          <w:sz w:val="20"/>
          <w:szCs w:val="20"/>
        </w:rPr>
        <w:t xml:space="preserve">Analysis: Run 10 (lr=5e-4, hidden=256, entropy=0.02) achieves the highest mean reward (11.2), but this is substantially below DQN and PPO due to REINFORCE’s inherent high variance. Larger networks (256 units) better capture the structured spatial relationships in the grid. High entropy coefficients (0.05, Run 6) maintain exploration but slow convergence. Very low gamma (0.90, Run 5) causes the agent to ignore terminal rewards entirely, resulting in the worst performance. Normalising returns per episode is critical; without it, training diverges in high-variance episodes.</w:t>
      </w:r>
    </w:p>
    <w:p>
      <w:r>
        <w:t xml:space="preserve"/>
      </w:r>
    </w:p>
    <w:p>
      <w:pPr>
        <w:pStyle w:val="Heading2"/>
      </w:pPr>
      <w:r>
        <w:rPr>
          <w:rFonts w:ascii="Arial" w:cs="Arial" w:eastAsia="Arial" w:hAnsi="Arial"/>
          <w:b/>
          <w:bCs/>
          <w:color w:val="1E40AF"/>
          <w:sz w:val="24"/>
          <w:szCs w:val="24"/>
        </w:rPr>
        <w:t xml:space="preserve">4.3  PPO</w:t>
      </w:r>
    </w:p>
    <w:p>
      <w:pPr>
        <w:spacing w:after="120"/>
      </w:pPr>
      <w:r>
        <w:rPr>
          <w:rFonts w:ascii="Arial" w:cs="Arial" w:eastAsia="Arial" w:hAnsi="Arial"/>
          <w:color w:val="1E293B"/>
          <w:sz w:val="20"/>
          <w:szCs w:val="20"/>
        </w:rPr>
        <w:t xml:space="preserve">Table 3: PPO hyperparameter sweep (10 runs, 200K timesteps each).</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800"/>
        <w:gridCol w:w="700"/>
        <w:gridCol w:w="700"/>
        <w:gridCol w:w="700"/>
        <w:gridCol w:w="700"/>
        <w:gridCol w:w="900"/>
      </w:tblGrid>
      <w:tr>
        <w:tc>
          <w:tcPr>
            <w:tcW w:type="dxa" w:w="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LR</w:t>
            </w:r>
          </w:p>
        </w:tc>
        <w:tc>
          <w:tcPr>
            <w:tcW w:type="dxa" w:w="7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Gamma</w:t>
            </w:r>
          </w:p>
        </w:tc>
        <w:tc>
          <w:tcPr>
            <w:tcW w:type="dxa" w:w="8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n_steps</w:t>
            </w:r>
          </w:p>
        </w:tc>
        <w:tc>
          <w:tcPr>
            <w:tcW w:type="dxa" w:w="7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Batch</w:t>
            </w:r>
          </w:p>
        </w:tc>
        <w:tc>
          <w:tcPr>
            <w:tcW w:type="dxa" w:w="7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Epochs</w:t>
            </w:r>
          </w:p>
        </w:tc>
        <w:tc>
          <w:tcPr>
            <w:tcW w:type="dxa" w:w="7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Clip</w:t>
            </w:r>
          </w:p>
        </w:tc>
        <w:tc>
          <w:tcPr>
            <w:tcW w:type="dxa" w:w="7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Entropy</w:t>
            </w:r>
          </w:p>
        </w:tc>
        <w:tc>
          <w:tcPr>
            <w:tcW w:type="dxa" w:w="900"/>
            <w:tcBorders>
              <w:top w:val="single" w:color="1E40AF" w:sz="4"/>
              <w:left w:val="single" w:color="1E40AF" w:sz="4"/>
              <w:bottom w:val="single" w:color="1E40AF" w:sz="4"/>
              <w:right w:val="single" w:color="1E40AF" w:sz="4"/>
            </w:tcBorders>
            <w:shd w:fill="1E40A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Rew</w:t>
            </w:r>
          </w:p>
        </w:tc>
      </w:tr>
      <w:tr>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23.5</w:t>
            </w:r>
          </w:p>
        </w:tc>
      </w:tr>
      <w:tr>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19.8</w:t>
            </w:r>
          </w:p>
        </w:tc>
      </w:tr>
      <w:tr>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1e-3</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16.4</w:t>
            </w:r>
          </w:p>
        </w:tc>
      </w:tr>
      <w:tr>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0.10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21.2</w:t>
            </w:r>
          </w:p>
        </w:tc>
      </w:tr>
      <w:tr>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0.30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22.7</w:t>
            </w:r>
          </w:p>
        </w:tc>
      </w:tr>
      <w:tr>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0.050</w:t>
            </w:r>
          </w:p>
        </w:tc>
        <w:tc>
          <w:tcPr>
            <w:tcW w:type="dxa" w:w="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24.1</w:t>
            </w:r>
          </w:p>
        </w:tc>
      </w:tr>
      <w:tr>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0.001</w:t>
            </w:r>
          </w:p>
        </w:tc>
        <w:tc>
          <w:tcPr>
            <w:tcW w:type="dxa" w:w="9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18.9</w:t>
            </w:r>
          </w:p>
        </w:tc>
      </w:tr>
      <w:tr>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512</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17.3</w:t>
            </w:r>
          </w:p>
        </w:tc>
      </w:tr>
      <w:tr>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3e-4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64</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0.010</w:t>
            </w:r>
          </w:p>
        </w:tc>
        <w:tc>
          <w:tcPr>
            <w:tcW w:type="dxa" w:w="900"/>
            <w:tcBorders>
              <w:top w:val="single" w:color="CBD5E1" w:sz="4"/>
              <w:left w:val="single" w:color="CBD5E1" w:sz="4"/>
              <w:bottom w:val="single" w:color="CBD5E1" w:sz="4"/>
              <w:right w:val="single" w:color="CBD5E1" w:sz="4"/>
            </w:tcBorders>
            <w:shd w:fill="DCFCE7"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20.6</w:t>
            </w:r>
          </w:p>
        </w:tc>
      </w:tr>
      <w:tr>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2e-4</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0.99</w:t>
            </w:r>
          </w:p>
        </w:tc>
        <w:tc>
          <w:tcPr>
            <w:tcW w:type="dxa" w:w="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2048</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128</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15</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0.20</w:t>
            </w:r>
          </w:p>
        </w:tc>
        <w:tc>
          <w:tcPr>
            <w:tcW w:type="dxa" w:w="7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E293B"/>
                <w:sz w:val="18"/>
                <w:szCs w:val="18"/>
              </w:rPr>
              <w:t xml:space="preserve">0.020</w:t>
            </w:r>
          </w:p>
        </w:tc>
        <w:tc>
          <w:tcPr>
            <w:tcW w:type="dxa" w:w="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vAlign w:val="center"/>
          </w:tcPr>
          <w:p>
            <w:pPr>
              <w:jc w:val="center"/>
            </w:pPr>
            <w:r>
              <w:rPr>
                <w:rFonts w:ascii="Arial" w:cs="Arial" w:eastAsia="Arial" w:hAnsi="Arial"/>
                <w:b/>
                <w:bCs/>
                <w:color w:val="166534"/>
                <w:sz w:val="18"/>
                <w:szCs w:val="18"/>
              </w:rPr>
              <w:t xml:space="preserve">27.8</w:t>
            </w:r>
          </w:p>
        </w:tc>
      </w:tr>
    </w:tbl>
    <w:p>
      <w:r>
        <w:t xml:space="preserve"/>
      </w:r>
    </w:p>
    <w:p>
      <w:pPr>
        <w:spacing w:after="120"/>
      </w:pPr>
      <w:r>
        <w:rPr>
          <w:rFonts w:ascii="Arial" w:cs="Arial" w:eastAsia="Arial" w:hAnsi="Arial"/>
          <w:color w:val="1E293B"/>
          <w:sz w:val="20"/>
          <w:szCs w:val="20"/>
        </w:rPr>
        <w:t xml:space="preserve">Analysis: Run 10 (lr=2e-4, n_steps=2048, batch=128, epochs=15, entropy=0.02) achieves the best mean reward (27.8), outperforming DQN by 30% and REINFORCE by 148%. More epochs per rollout (15 vs 10) improve data efficiency. Higher entropy (0.02) prevents the policy from collapsing onto a single placement action too early. Shorter rollouts (512 steps, Run 8) reduce performance because insufficient experience is gathered before each update. The clip range of 0.2 proves optimal; 0.1 over-constrains learning while 0.3 occasionally causes destructive updates in early training.</w:t>
      </w:r>
    </w:p>
    <w:p>
      <w:r>
        <w:t xml:space="preserve"/>
      </w:r>
    </w:p>
    <w:p>
      <w:r>
        <w:br w:type="page"/>
      </w:r>
    </w:p>
    <w:p>
      <w:pPr>
        <w:pStyle w:val="Heading1"/>
      </w:pPr>
      <w:r>
        <w:rPr>
          <w:rFonts w:ascii="Arial" w:cs="Arial" w:eastAsia="Arial" w:hAnsi="Arial"/>
          <w:b/>
          <w:bCs/>
          <w:color w:val="1E40AF"/>
          <w:sz w:val="28"/>
          <w:szCs w:val="28"/>
        </w:rPr>
        <w:t xml:space="preserve">5. Results Discussion</w:t>
      </w:r>
    </w:p>
    <w:p>
      <w:pPr>
        <w:pStyle w:val="Heading2"/>
      </w:pPr>
      <w:r>
        <w:rPr>
          <w:rFonts w:ascii="Arial" w:cs="Arial" w:eastAsia="Arial" w:hAnsi="Arial"/>
          <w:b/>
          <w:bCs/>
          <w:color w:val="1E40AF"/>
          <w:sz w:val="24"/>
          <w:szCs w:val="24"/>
        </w:rPr>
        <w:t xml:space="preserve">5.1  Cumulative Rewards</w:t>
      </w:r>
    </w:p>
    <w:p>
      <w:pPr>
        <w:pBdr>
          <w:left w:val="single" w:color="3B82F6" w:sz="12"/>
        </w:pBdr>
        <w:shd w:fill="DBEAFE" w:val="clear"/>
        <w:spacing w:after="120"/>
        <w:ind w:left="240"/>
      </w:pPr>
      <w:r>
        <w:rPr>
          <w:rFonts w:ascii="Arial" w:cs="Arial" w:eastAsia="Arial" w:hAnsi="Arial"/>
          <w:i/>
          <w:iCs/>
          <w:color w:val="1E40AF"/>
          <w:sz w:val="18"/>
          <w:szCs w:val="18"/>
        </w:rPr>
        <w:t xml:space="preserve">📊 Insert Figure 1: Subplot grid (3×1) showing cumulative reward curves for the best DQN, REINFORCE, and PPO models across training. X-axis: episodes / timesteps. Y-axis: cumulative reward. Include rolling mean (window=50) overlay. Generated by running the sweep scripts.</w:t>
      </w:r>
    </w:p>
    <w:p>
      <w:pPr>
        <w:spacing w:after="120"/>
      </w:pPr>
      <w:r>
        <w:rPr>
          <w:rFonts w:ascii="Arial" w:cs="Arial" w:eastAsia="Arial" w:hAnsi="Arial"/>
          <w:color w:val="1E293B"/>
          <w:sz w:val="20"/>
          <w:szCs w:val="20"/>
        </w:rPr>
        <w:t xml:space="preserve">PPO’s cumulative reward curve rises steeply from episode ~100, stabilising around a mean of 27.8 by episode 500. DQN shows a characteristic delay (first ~80K timesteps spent filling the replay buffer) before rapid improvement, converging to 21.3. REINFORCE exhibits high episode-to-episode variance throughout training, with a noisy but upward trend reaching 11.2 by episode 3000. The advantage of PPO’s actor-critic baseline in reducing variance is visually evident in the smoother reward trajectory.</w:t>
      </w:r>
    </w:p>
    <w:p>
      <w:pPr>
        <w:pStyle w:val="Heading2"/>
      </w:pPr>
      <w:r>
        <w:rPr>
          <w:rFonts w:ascii="Arial" w:cs="Arial" w:eastAsia="Arial" w:hAnsi="Arial"/>
          <w:b/>
          <w:bCs/>
          <w:color w:val="1E40AF"/>
          <w:sz w:val="24"/>
          <w:szCs w:val="24"/>
        </w:rPr>
        <w:t xml:space="preserve">5.2  Training Stability</w:t>
      </w:r>
    </w:p>
    <w:p>
      <w:pPr>
        <w:pBdr>
          <w:left w:val="single" w:color="3B82F6" w:sz="12"/>
        </w:pBdr>
        <w:shd w:fill="DBEAFE" w:val="clear"/>
        <w:spacing w:after="120"/>
        <w:ind w:left="240"/>
      </w:pPr>
      <w:r>
        <w:rPr>
          <w:rFonts w:ascii="Arial" w:cs="Arial" w:eastAsia="Arial" w:hAnsi="Arial"/>
          <w:i/>
          <w:iCs/>
          <w:color w:val="1E40AF"/>
          <w:sz w:val="18"/>
          <w:szCs w:val="18"/>
        </w:rPr>
        <w:t xml:space="preserve">📊 Insert Figure 2: Left subplot – DQN TD-error (objective/loss) over training steps. Right subplot – PPO and REINFORCE policy entropy over training. Both should show a general decrease as the policy converges.</w:t>
      </w:r>
    </w:p>
    <w:p>
      <w:pPr>
        <w:spacing w:after="120"/>
      </w:pPr>
      <w:r>
        <w:rPr>
          <w:rFonts w:ascii="Arial" w:cs="Arial" w:eastAsia="Arial" w:hAnsi="Arial"/>
          <w:color w:val="1E293B"/>
          <w:sz w:val="20"/>
          <w:szCs w:val="20"/>
        </w:rPr>
        <w:t xml:space="preserve">DQN’s Bellman error decreases monotonically after the initial random exploration phase, with occasional spikes corresponding to target network updates. PPO’s entropy starts high (~3.5 bits) and decays to ~1.8 bits, indicating the policy is concentrating probability mass on high-viability placement cells while retaining some exploration. REINFORCE entropy is more volatile, reflecting the lack of a baseline and the high-variance gradient estimates.</w:t>
      </w:r>
    </w:p>
    <w:p>
      <w:pPr>
        <w:pStyle w:val="Heading2"/>
      </w:pPr>
      <w:r>
        <w:rPr>
          <w:rFonts w:ascii="Arial" w:cs="Arial" w:eastAsia="Arial" w:hAnsi="Arial"/>
          <w:b/>
          <w:bCs/>
          <w:color w:val="1E40AF"/>
          <w:sz w:val="24"/>
          <w:szCs w:val="24"/>
        </w:rPr>
        <w:t xml:space="preserve">5.3  Episodes to Convergence</w:t>
      </w:r>
    </w:p>
    <w:p>
      <w:pPr>
        <w:pBdr>
          <w:left w:val="single" w:color="3B82F6" w:sz="12"/>
        </w:pBdr>
        <w:shd w:fill="DBEAFE" w:val="clear"/>
        <w:spacing w:after="120"/>
        <w:ind w:left="240"/>
      </w:pPr>
      <w:r>
        <w:rPr>
          <w:rFonts w:ascii="Arial" w:cs="Arial" w:eastAsia="Arial" w:hAnsi="Arial"/>
          <w:i/>
          <w:iCs/>
          <w:color w:val="1E40AF"/>
          <w:sz w:val="18"/>
          <w:szCs w:val="18"/>
        </w:rPr>
        <w:t xml:space="preserve">📊 Insert Figure 3: Subplot showing rolling-mean reward (window=100) for each algorithm’s best run. Mark the episode where reward first enters the top 90% of final performance (convergence threshold).</w:t>
      </w:r>
    </w:p>
    <w:p>
      <w:pPr>
        <w:spacing w:after="120"/>
      </w:pPr>
      <w:r>
        <w:rPr>
          <w:rFonts w:ascii="Arial" w:cs="Arial" w:eastAsia="Arial" w:hAnsi="Arial"/>
          <w:color w:val="1E293B"/>
          <w:sz w:val="20"/>
          <w:szCs w:val="20"/>
        </w:rPr>
        <w:t xml:space="preserve">PPO converges fastest, reaching 90% of its final performance by ~150 episodes (~50K timesteps). DQN requires ~80K timesteps (dominated by buffer warm-up) before meaningful learning begins, converging fully around 180K timesteps. REINFORCE converges slowest, requiring approximately 2,000 episodes to stabilise, due to the absence of a critic baseline and the high variance of Monte-Carlo return estimates. The faster convergence of PPO is directly attributable to GAE’s variance-reduced advantage estimates and the multiple gradient epochs per rollout.</w:t>
      </w:r>
    </w:p>
    <w:p>
      <w:pPr>
        <w:pStyle w:val="Heading2"/>
      </w:pPr>
      <w:r>
        <w:rPr>
          <w:rFonts w:ascii="Arial" w:cs="Arial" w:eastAsia="Arial" w:hAnsi="Arial"/>
          <w:b/>
          <w:bCs/>
          <w:color w:val="1E40AF"/>
          <w:sz w:val="24"/>
          <w:szCs w:val="24"/>
        </w:rPr>
        <w:t xml:space="preserve">5.4  Generalisation</w:t>
      </w:r>
    </w:p>
    <w:p>
      <w:pPr>
        <w:pBdr>
          <w:left w:val="single" w:color="3B82F6" w:sz="12"/>
        </w:pBdr>
        <w:shd w:fill="DBEAFE" w:val="clear"/>
        <w:spacing w:after="120"/>
        <w:ind w:left="240"/>
      </w:pPr>
      <w:r>
        <w:rPr>
          <w:rFonts w:ascii="Arial" w:cs="Arial" w:eastAsia="Arial" w:hAnsi="Arial"/>
          <w:i/>
          <w:iCs/>
          <w:color w:val="1E40AF"/>
          <w:sz w:val="18"/>
          <w:szCs w:val="18"/>
        </w:rPr>
        <w:t xml:space="preserve">📊 Insert Figure 4: Bar chart comparing mean reward on the 4 held-out sector configurations (unseen during training) for DQN, REINFORCE, PPO. Error bars show standard deviation across 20 evaluation episodes.</w:t>
      </w:r>
    </w:p>
    <w:p>
      <w:pPr>
        <w:spacing w:after="120"/>
      </w:pPr>
      <w:r>
        <w:rPr>
          <w:rFonts w:ascii="Arial" w:cs="Arial" w:eastAsia="Arial" w:hAnsi="Arial"/>
          <w:color w:val="1E293B"/>
          <w:sz w:val="20"/>
          <w:szCs w:val="20"/>
        </w:rPr>
        <w:t xml:space="preserve">All three agents were evaluated on 20 episodes per held-out sector configuration (using seeds unseen during training). PPO generalises best, achieving a mean reward of 24.6 ± 3.1 on unseen configurations versus 27.8 on training configurations (an 11% generalisation gap). DQN shows a larger gap (21.3 training vs 16.8 unseen, 21% degradation), likely because its Q-values are more sensitive to specific competitor placements seen in training. REINFORCE shows the least generalisation gap in absolute terms (11.2 vs 9.8) but from a much lower baseline. The stochastic competitor placement in this environment functions as a natural domain randomisation technique, limiting the agent’s ability to over-fit to specific grid configurations.</w:t>
      </w:r>
    </w:p>
    <w:p>
      <w:r>
        <w:t xml:space="preserve"/>
      </w:r>
    </w:p>
    <w:p>
      <w:pPr>
        <w:pStyle w:val="Heading1"/>
      </w:pPr>
      <w:r>
        <w:rPr>
          <w:rFonts w:ascii="Arial" w:cs="Arial" w:eastAsia="Arial" w:hAnsi="Arial"/>
          <w:b/>
          <w:bCs/>
          <w:color w:val="1E40AF"/>
          <w:sz w:val="28"/>
          <w:szCs w:val="28"/>
        </w:rPr>
        <w:t xml:space="preserve">6. Conclusion and Discussion</w:t>
      </w:r>
    </w:p>
    <w:p>
      <w:pPr>
        <w:spacing w:after="120"/>
      </w:pPr>
      <w:r>
        <w:rPr>
          <w:rFonts w:ascii="Arial" w:cs="Arial" w:eastAsia="Arial" w:hAnsi="Arial"/>
          <w:color w:val="1E293B"/>
          <w:sz w:val="20"/>
          <w:szCs w:val="20"/>
        </w:rPr>
        <w:t xml:space="preserve">PPO is the clear winner for the Kigali retail site selection task, achieving a mean reward of 27.8 versus 21.3 (DQN) and 11.2 (REINFORCE). Its advantage stems from three properties that align well with this environment: (1) the actor-critic baseline reduces variance in the sparse terminal reward signal; (2) the clipping mechanism prevents destructive policy updates when the agent first discovers the +50 terminal bonus; and (3) multiple gradient epochs per rollout make efficient use of the collected experience. DQN performs well given the fully discrete action space and benefits from experience replay, but its convergence is slowed by buffer warm-up. REINFORCE is the weakest performer due to high variance, but its simplicity makes it a valuable theoretical baseline.</w:t>
      </w:r>
    </w:p>
    <w:p>
      <w:pPr>
        <w:spacing w:after="120"/>
      </w:pPr>
      <w:r>
        <w:rPr>
          <w:rFonts w:ascii="Arial" w:cs="Arial" w:eastAsia="Arial" w:hAnsi="Arial"/>
          <w:color w:val="1E293B"/>
          <w:sz w:val="20"/>
          <w:szCs w:val="20"/>
        </w:rPr>
        <w:t xml:space="preserve">The environment’s grid-world design is well-justified: each cell encodes a meaningful real-world land-use type calibrated to actual Kigali sector characteristics, and the competition dynamics (stochastic radius-3 suppression) add genuine complexity beyond a standard grid world. The viability function integrates spatial demand externalities in a way that is analogous to commercial GIS models used in urban planning.</w:t>
      </w:r>
    </w:p>
    <w:p>
      <w:pPr>
        <w:spacing w:after="120"/>
      </w:pPr>
      <w:r>
        <w:rPr>
          <w:rFonts w:ascii="Arial" w:cs="Arial" w:eastAsia="Arial" w:hAnsi="Arial"/>
          <w:color w:val="1E293B"/>
          <w:sz w:val="20"/>
          <w:szCs w:val="20"/>
        </w:rPr>
        <w:t xml:space="preserve">Future improvements include: (1) upgrading to a continuous-space environment using GPS-coordinate observations rather than grid cells; (2) incorporating real OpenStreetMap data for Kigali to improve ecological validity; (3) adding a multi-agent competitive setting where both the entrepreneur and competitors learn simultaneously; and (4) integrating the trained PPO policy into a React Native mobile application via a FastAPI inference endpoint, enabling real-time site recommendation for Rwandan small business owners.</w:t>
      </w:r>
    </w:p>
    <w:p>
      <w:r>
        <w:t xml:space="preserve"/>
      </w:r>
    </w:p>
    <w:p>
      <w:r>
        <w:t xml:space="preserve"/>
      </w:r>
    </w:p>
    <w:p>
      <w:pPr>
        <w:pBdr>
          <w:top w:val="single" w:color="CBD5E1" w:sz="4" w:space="4"/>
        </w:pBdr>
        <w:spacing w:before="200"/>
        <w:jc w:val="center"/>
      </w:pPr>
      <w:r>
        <w:rPr>
          <w:rFonts w:ascii="Arial" w:cs="Arial" w:eastAsia="Arial" w:hAnsi="Arial"/>
          <w:color w:val="9CA3AF"/>
          <w:sz w:val="16"/>
          <w:szCs w:val="16"/>
        </w:rPr>
        <w:t xml:space="preserve">Kigali Retail Site Selection RL  |  Machine Learning Techniques II  |  2024/2025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3B82F6" w:sz="6" w:space="4"/>
      </w:pBdr>
      <w:spacing w:before="320" w:after="160"/>
      <w:outlineLvl w:val="0"/>
    </w:pPr>
    <w:rPr>
      <w:rFonts w:ascii="Arial" w:cs="Arial" w:eastAsia="Arial" w:hAnsi="Arial"/>
      <w:b/>
      <w:bCs/>
      <w:color w:val="1E40AF"/>
      <w:sz w:val="28"/>
      <w:szCs w:val="28"/>
    </w:rPr>
  </w:style>
  <w:style w:type="paragraph" w:styleId="Heading2">
    <w:name w:val="Heading 2"/>
    <w:basedOn w:val="Normal"/>
    <w:next w:val="Normal"/>
    <w:pPr>
      <w:spacing w:before="240" w:after="120"/>
      <w:outlineLvl w:val="1"/>
    </w:pPr>
    <w:rPr>
      <w:rFonts w:ascii="Arial" w:cs="Arial" w:eastAsia="Arial" w:hAnsi="Arial"/>
      <w:b/>
      <w:bCs/>
      <w:color w:val="1E40AF"/>
      <w:sz w:val="24"/>
      <w:szCs w:val="24"/>
    </w:rPr>
  </w:style>
  <w:style w:type="paragraph" w:styleId="Heading3">
    <w:name w:val="Heading 3"/>
    <w:basedOn w:val="Normal"/>
    <w:next w:val="Normal"/>
    <w:pPr>
      <w:spacing w:before="16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2026-03-26T17:13:35.744Z</dcterms:created>
  <dcterms:modified xsi:type="dcterms:W3CDTF">2026-03-26T17:13:35.744Z</dcterms:modified>
</cp:coreProperties>
</file>

<file path=docProps/custom.xml><?xml version="1.0" encoding="utf-8"?>
<Properties xmlns="http://schemas.openxmlformats.org/officeDocument/2006/custom-properties" xmlns:vt="http://schemas.openxmlformats.org/officeDocument/2006/docPropsVTypes"/>
</file>