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End-process HHR Assessment Interim Report</w:t>
      </w:r>
    </w:p>
    <w:p>
      <w:pPr>
        <w:pStyle w:val="Subtitle"/>
      </w:pPr>
      <w:r>
        <w:t xml:space="preserve">Country and/or location, Year</w:t>
      </w:r>
    </w:p>
    <w:p>
      <w:pPr>
        <w:pStyle w:val="Author"/>
      </w:pPr>
      <w:r>
        <w:t xml:space="preserve">Author(s): Eleanore Sternberg, Stephen Poyer</w:t>
      </w:r>
    </w:p>
    <w:p>
      <w:pPr>
        <w:pStyle w:val="Date"/>
      </w:pPr>
      <w:r>
        <w:t xml:space="preserve">Report date:22 January, 2026</w:t>
      </w:r>
    </w:p>
    <w:p>
      <w:pPr>
        <w:pStyle w:val="FirstParagraph"/>
      </w:pPr>
      <w:r>
        <w:t xml:space="preserve"> </w:t>
      </w:r>
      <w:r>
        <w:t xml:space="preserve"> </w:t>
      </w:r>
    </w:p>
    <w:p>
      <w:pPr>
        <w:pStyle w:val="BodyText"/>
      </w:pPr>
      <w:r>
        <w:t xml:space="preserve">This is an adaptable template that provides guidance and content examples for daily reporting on an end-process assessment of household registration ahead of an ITN distribution campaign, following the Alliance for Malaria Prevention (AMP) recommendations.</w:t>
      </w:r>
    </w:p>
    <w:p>
      <w:pPr>
        <w:pStyle w:val="BodyText"/>
      </w:pPr>
      <w:r>
        <w:t xml:space="preserve">The starting point for this R Markdown is a cleaned data set generated by running the R script:</w:t>
      </w:r>
      <w:r>
        <w:t xml:space="preserve"> </w:t>
      </w:r>
      <w:r>
        <w:rPr>
          <w:i/>
          <w:iCs/>
        </w:rPr>
        <w:t xml:space="preserve">1 End-process check and clean.R</w:t>
      </w:r>
      <w:r>
        <w:t xml:space="preserve">. The output of the R Markdown is a series of graphs and tables, summarising the results of the in-process HHR assessment.</w:t>
      </w:r>
    </w:p>
    <w:p>
      <w:pPr>
        <w:pStyle w:val="BodyText"/>
      </w:pPr>
      <w:r>
        <w:rPr>
          <w:b/>
          <w:bCs/>
        </w:rPr>
        <w:t xml:space="preserve">The components of this output are</w:t>
      </w:r>
      <w:r>
        <w:t xml:space="preserve">:</w:t>
      </w:r>
    </w:p>
    <w:p>
      <w:pPr>
        <w:pStyle w:val="Compact"/>
        <w:numPr>
          <w:ilvl w:val="0"/>
          <w:numId w:val="1001"/>
        </w:numPr>
      </w:pPr>
      <w:r>
        <w:t xml:space="preserve">Table 1. Level of campaign coverage and reasons why households did not receive any campaign ITNs, by district</w:t>
      </w:r>
    </w:p>
    <w:p>
      <w:pPr>
        <w:pStyle w:val="Compact"/>
        <w:numPr>
          <w:ilvl w:val="0"/>
          <w:numId w:val="1001"/>
        </w:numPr>
      </w:pPr>
      <w:r>
        <w:t xml:space="preserve">Table 2. Level of correct campaign coverage and reasons why households did not receive correct number of campaign ITNs, by district</w:t>
      </w:r>
    </w:p>
    <w:p>
      <w:pPr>
        <w:pStyle w:val="Compact"/>
        <w:numPr>
          <w:ilvl w:val="0"/>
          <w:numId w:val="1001"/>
        </w:numPr>
      </w:pPr>
      <w:r>
        <w:t xml:space="preserve">Table 3. Current household ITN supply, by district</w:t>
      </w:r>
    </w:p>
    <w:p>
      <w:pPr>
        <w:pStyle w:val="Compact"/>
        <w:numPr>
          <w:ilvl w:val="0"/>
          <w:numId w:val="1001"/>
        </w:numPr>
      </w:pPr>
      <w:r>
        <w:t xml:space="preserve">Table 4. Population-level ITN access, by district</w:t>
      </w:r>
    </w:p>
    <w:p>
      <w:pPr>
        <w:pStyle w:val="Compact"/>
        <w:numPr>
          <w:ilvl w:val="0"/>
          <w:numId w:val="1001"/>
        </w:numPr>
      </w:pPr>
      <w:r>
        <w:t xml:space="preserve">Table 5a. Use of available ITNs the night before the survey, by district</w:t>
      </w:r>
    </w:p>
    <w:p>
      <w:pPr>
        <w:pStyle w:val="Compact"/>
        <w:numPr>
          <w:ilvl w:val="0"/>
          <w:numId w:val="1001"/>
        </w:numPr>
      </w:pPr>
      <w:r>
        <w:t xml:space="preserve">Table 5b. Population-level ITN use, by district</w:t>
      </w:r>
    </w:p>
    <w:p>
      <w:pPr>
        <w:pStyle w:val="Compact"/>
        <w:numPr>
          <w:ilvl w:val="0"/>
          <w:numId w:val="1001"/>
        </w:numPr>
      </w:pPr>
      <w:r>
        <w:t xml:space="preserve">Table 6. Reasons why people did not sleep under an ITN the previous night, by district</w:t>
      </w:r>
    </w:p>
    <w:p>
      <w:pPr>
        <w:pStyle w:val="Compact"/>
        <w:numPr>
          <w:ilvl w:val="0"/>
          <w:numId w:val="1001"/>
        </w:numPr>
      </w:pPr>
      <w:r>
        <w:t xml:space="preserve">Table 7a. Level of knowledge of distribution date and location, by district</w:t>
      </w:r>
    </w:p>
    <w:p>
      <w:pPr>
        <w:pStyle w:val="Compact"/>
        <w:numPr>
          <w:ilvl w:val="0"/>
          <w:numId w:val="1001"/>
        </w:numPr>
      </w:pPr>
      <w:r>
        <w:t xml:space="preserve">Table 7b. Sources of information among households with knowledge of distribution date or location, by district</w:t>
      </w:r>
    </w:p>
    <w:p>
      <w:pPr>
        <w:pStyle w:val="Compact"/>
        <w:numPr>
          <w:ilvl w:val="0"/>
          <w:numId w:val="1001"/>
        </w:numPr>
      </w:pPr>
      <w:r>
        <w:t xml:space="preserve">Table 8a. Level of exposure to SBC messaging from campaign staff, by district</w:t>
      </w:r>
    </w:p>
    <w:p>
      <w:pPr>
        <w:pStyle w:val="Compact"/>
        <w:numPr>
          <w:ilvl w:val="0"/>
          <w:numId w:val="1001"/>
        </w:numPr>
      </w:pPr>
      <w:r>
        <w:t xml:space="preserve">Table 8b. Recalled SBC messages delivered by campaign staff, by district</w:t>
      </w:r>
    </w:p>
    <w:p>
      <w:pPr>
        <w:pStyle w:val="Compact"/>
        <w:numPr>
          <w:ilvl w:val="0"/>
          <w:numId w:val="1001"/>
        </w:numPr>
      </w:pPr>
      <w:r>
        <w:t xml:space="preserve">Table 9. Classification of lots based on receipt of correct number of campaign ITNs</w:t>
      </w:r>
    </w:p>
    <w:p>
      <w:pPr>
        <w:pStyle w:val="Compact"/>
        <w:numPr>
          <w:ilvl w:val="0"/>
          <w:numId w:val="1001"/>
        </w:numPr>
      </w:pPr>
      <w:r>
        <w:t xml:space="preserve">Table 10 Annex. Level of household registration and reasons why households were not registered, by district</w:t>
      </w:r>
    </w:p>
    <w:p>
      <w:pPr>
        <w:pStyle w:val="Compact"/>
        <w:numPr>
          <w:ilvl w:val="0"/>
          <w:numId w:val="1001"/>
        </w:numPr>
      </w:pPr>
      <w:r>
        <w:t xml:space="preserve">Table 11 Annex. Regional estimates for key indicators</w:t>
      </w:r>
    </w:p>
    <w:p>
      <w:pPr>
        <w:pStyle w:val="FirstParagraph"/>
      </w:pPr>
      <w:r>
        <w:t xml:space="preserve"> </w:t>
      </w:r>
      <w:r>
        <w:t xml:space="preserve"> </w:t>
      </w:r>
    </w:p>
    <w:p>
      <w:pPr>
        <w:pStyle w:val="BodyText"/>
      </w:pPr>
      <w:r>
        <w:rPr>
          <w:b/>
          <w:bCs/>
        </w:rPr>
        <w:t xml:space="preserve">Filler text to be replaced by user</w:t>
      </w:r>
      <w:r>
        <w:t xml:space="preserve"> </w:t>
      </w:r>
      <w:r>
        <w:t xml:space="preserve">Lorem ipsum dolor sit amet, consectetur adipiscing elit. Suspendisse in sem sit amet ipsum aliquam cursus. Phasellus egestas sollicitudin mauris at rhoncus. Mauris egestas placerat nisi, ac dignissim elit porta vitae. Ut euismod ligula felis. In semper nunc at mauris porta dignissim. Nam ligula massa, convallis at tincidunt quis, tempus eget mauris. In hac habitasse platea dictumst. Praesent facilisis laoreet luctus. Curabitur mollis nisl et nunc faucibus aliquet. Integer ac neque eget justo laoreet fermentum in quis sem. Mauris fermentum quis neque in rutrum. Nulla turpis augue, euismod non ante sed, efficitur vulputate magna. Nulla scelerisque sed erat vel commodo.</w:t>
      </w:r>
    </w:p>
    <w:p>
      <w:pPr>
        <w:pStyle w:val="BodyText"/>
      </w:pPr>
      <w:r>
        <w:t xml:space="preserve">Quisque dictum vulputate nibh sed molestie. Morbi bibendum laoreet ornare. Aenean non posuere dui. Vestibulum feugiat justo vitae iaculis efficitur. Nullam commodo, risus sit amet hendrerit euismod, nisi tellus fringilla urna, ac vestibulum justo orci et turpis. Proin sit amet porttitor risus. Proin eget pretium tellus. Sed sollicitudin ex vitae pulvinar ultrices. In scelerisque nec dui ut egestas. Class aptent taciti sociosqu ad litora torquent per conubia nostra, per inceptos himenaeos. Praesent commodo purus non tellus lacinia sollicitudin. Nullam nibh augue, porta non ornare et, ullamcorper non sem. Nullam commodo odio eget lorem dignissim, at ornare urna scelerisque.</w:t>
      </w:r>
    </w:p>
    <w:p>
      <w:pPr>
        <w:pStyle w:val="BodyText"/>
      </w:pPr>
      <w:r>
        <w:t xml:space="preserve">Ut a ullamcorper ipsum. Aenean in varius dolor. Nam diam nibh, tempus in magna sit amet, iaculis molestie magna. Nam quis maximus nulla, at dapibus neque. Proin quis urna sed sem malesuada tristique in et purus. Lorem ipsum dolor sit amet, consectetur adipiscing elit. Maecenas sit amet odio interdum, convallis nunc sed, pharetra leo. Donec tortor magna, euismod non lobortis quis, porta vitae sapien. Nulla dapibus nunc elementum, lacinia ex quis, mattis ex. Aenean vulputate pretium faucibus. Nam fringilla magna lectus.</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Level of campaign coverage and reasons why households did not receive any campaign ITNs,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Receipt of any campaign ITN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15"/>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Reasons why HHs did not receive any campaign ITN, among eligible cases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that received at least one campaign ITN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 distribution in district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Attended but received no ITNs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Unable/forgot to attend</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Did not want to attend</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Did not know distribution was happening</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Respondent doesn't know reason</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reason</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footer 1
        <w:tc>
          <w:tcPr>
            <w:gridSpan w:val="21"/>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Level of correct campaign coverage and reasons why households did not receive correct number of campaign ITNs,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Correct number of campaign ITNs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11"/>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Reasons why HHs did not receive correct number of campaign ITN, among eligible cases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that received correct number of campaign ITNs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Distribution staff rationed ITNs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Distribution staff ran out of ITNs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Error in respondent recall of HHR process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Unable to determine reason</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reason</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footer 1
        <w:tc>
          <w:tcPr>
            <w:gridSpan w:val="17"/>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Current household ITN supply,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Receipt of any campaign ITN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Campaign ITNs still in HH possession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ITNs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that received at least one campaign ITN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campaign ITNs received</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Campaign ITNs still in household possession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at least one ITN from another source</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pc_ncyn</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r>
      <w:tr>
        <w:trPr>
          <w:trHeight w:val="360" w:hRule="auto"/>
        </w:trPr>
        footer 1
        <w:tc>
          <w:tcPr>
            <w:gridSpan w:val="1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counts are unweighted; regional percentages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Population-level ITN access,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5"/>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 ITN access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 access to any ITN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 access to campaign ITNs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 access to ITNs from other sources</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Count of de facto population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309</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1,612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r>
      <w:tr>
        <w:trPr>
          <w:trHeight w:val="360" w:hRule="auto"/>
        </w:trPr>
        footer 1
        <w:tc>
          <w:tcPr>
            <w:gridSpan w:val="7"/>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Population-level ITN access is the percentage of the de facto household population that could sleep under an ITN, assuming each ITN can protect up to two people</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5a. Use of available ITNs the night before the survey,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Campaign ITNs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ITNs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Campaign ITNs used for sleeping under</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ITNs used for sleeping under</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Campaign ITNs in households possession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ITNs in households possession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slept_ncitn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r>
        <w:trPr>
          <w:trHeight w:val="360" w:hRule="auto"/>
        </w:trPr>
        footer 1
        <w:tc>
          <w:tcPr>
            <w:gridSpan w:val="9"/>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counts are unweighted; regional percentages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5b. Population-level ITN use,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population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Children under five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Pregnant women</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the previous night</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the previous night</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the previous night</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Count of de facto population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 &lt;5 years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pregnant women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r>
      <w:tr>
        <w:trPr>
          <w:trHeight w:val="360" w:hRule="auto"/>
        </w:trPr>
        footer 1
        <w:tc>
          <w:tcPr>
            <w:gridSpan w:val="1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counts are unweighted; regional percentages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Reasons why people did not sleep under an ITN the previous night,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17"/>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Reasons why people did not sleep under an ITN the previous night, among eligible cases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Insufficient ITNs for all spaces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Don't like smell</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Too hot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 malaria or no mosquitos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Dislike using an ITN</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Slept outside</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Respondent DKN reason</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reason</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Individuals not using an ITN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footer 1
        <w:tc>
          <w:tcPr>
            <w:gridSpan w:val="19"/>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7a. Level of knowledge of distribution date and location,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5"/>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Distribution knowledge</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Aware of date AND location of distirbution</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Aware of neither date NOR location of distribution</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Households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footer 1
        <w:tc>
          <w:tcPr>
            <w:gridSpan w:val="7"/>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7b. Sources of information among households with knowledge of distribution date or location,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1"/>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Sources of information about the distribution, among eligible cases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Campaign staff</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Health worker / CHW</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Town announcer</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Community or religious leader</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Family or friends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Radio</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TV</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SMS</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Newspaper</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reason</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HHs with at least some knowledge of campaign details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footer 1
        <w:tc>
          <w:tcPr>
            <w:gridSpan w:val="2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Multiple responses were permitted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8a. Level of exposure to SBC messaging from campaign staff,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SBC exposure</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 received information about ITNs or malaria</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Households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r>
      <w:tr>
        <w:trPr>
          <w:trHeight w:val="360" w:hRule="auto"/>
        </w:trPr>
        footer 1
        <w:tc>
          <w:tcPr>
            <w:gridSpan w:val="5"/>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8b. Recalled SBC messages delivered by campaign staff,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15"/>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SBC message content, among eligible cases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Use your net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Care for your net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Hang up your net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Sleep under net every night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Nets prevent malaria</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Repair your net</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message</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cases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r>
      <w:tr>
        <w:trPr>
          <w:trHeight w:val="360" w:hRule="auto"/>
        </w:trPr>
        footer 1
        <w:tc>
          <w:tcPr>
            <w:gridSpan w:val="17"/>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Multiple responses were permitted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w:pPr>
        <w:pStyle w:val="BodyText"/>
      </w:pPr>
      <w:r>
        <w:t xml:space="preserve">The five key indicators presented in table below are:</w:t>
      </w:r>
      <w:r>
        <w:t xml:space="preserve"> </w:t>
      </w:r>
      <w:r>
        <w:t xml:space="preserve">- Percentage of households that received at least one campaign ITN</w:t>
      </w:r>
      <w:r>
        <w:t xml:space="preserve"> </w:t>
      </w:r>
      <w:r>
        <w:t xml:space="preserve">- Percentage of households that received the correct number of campaign ITNs (based on household size and eligibility criteria for the campaign)</w:t>
      </w:r>
      <w:r>
        <w:t xml:space="preserve"> </w:t>
      </w:r>
      <w:r>
        <w:t xml:space="preserve">- Percentage of the population that has access to an ITN (assuming each ITN can be used by two people)</w:t>
      </w:r>
      <w:r>
        <w:t xml:space="preserve"> </w:t>
      </w:r>
      <w:r>
        <w:t xml:space="preserve">- Percentage of the population that reported sleeping under an ITN the previous night</w:t>
      </w:r>
      <w:r>
        <w:t xml:space="preserve"> </w:t>
      </w:r>
      <w:r>
        <w:t xml:space="preserve">- Percentage of children under five that reported sleeping under an ITN the previous night</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9. Classification of lots based on receipt of correct number of campaign ITNs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LQAS Classification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5"/>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Five key indicators (%)</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 (lot)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HHs with incorrect ITNs (denom = 60 HHs)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Classification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at least 1 campaign ITN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correct Nb campaign ITNs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 access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all ages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&lt;5 yrs</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64%</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67%</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76%</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74%</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71%</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65%</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64%</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A9A9A9"/>
              <w:top w:val="single" w:sz="8" w:space="0" w:color="A9A9A9"/>
              <w:left w:val="single" w:sz="8" w:space="0" w:color="A9A9A9"/>
              <w:right w:val="single" w:sz="8" w:space="0" w:color="A9A9A9"/>
            </w:tcBorders>
            <w:shd w:val="clear" w:color="auto" w:fill="FFF2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Uncertain</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87%</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74%</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60%</w:t>
            </w:r>
          </w:p>
        </w:tc>
      </w:tr>
      <w:tr>
        <w:trPr>
          <w:trHeight w:val="360" w:hRule="auto"/>
        </w:trPr>
        body 6
        <w:tc>
          <w:tcPr>
            <w:vMerge w:val="restart"/>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44%</w:t>
            </w:r>
          </w:p>
        </w:tc>
      </w:tr>
      <w:tr>
        <w:trPr>
          <w:trHeight w:val="360" w:hRule="auto"/>
        </w:trPr>
        body 7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57%</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58%</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40%</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32%</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88%</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44%</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52%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31%</w:t>
            </w:r>
          </w:p>
        </w:tc>
      </w:tr>
      <w:tr>
        <w:trPr>
          <w:trHeight w:val="360" w:hRule="auto"/>
        </w:trPr>
        body12
        <w:tc>
          <w:tcPr>
            <w:vMerge w:val="restart"/>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97%</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79%</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84%</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92%</w:t>
            </w:r>
          </w:p>
        </w:tc>
      </w:tr>
      <w:tr>
        <w:trPr>
          <w:trHeight w:val="360" w:hRule="auto"/>
        </w:trPr>
        body14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97%</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75%</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66%</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66%</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A9A9A9"/>
              <w:top w:val="single" w:sz="8" w:space="0" w:color="A9A9A9"/>
              <w:left w:val="single" w:sz="8" w:space="0" w:color="A9A9A9"/>
              <w:right w:val="single" w:sz="8" w:space="0" w:color="A9A9A9"/>
            </w:tcBorders>
            <w:shd w:val="clear" w:color="auto" w:fill="F4CCC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Inadequate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FF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FF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82%</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0000"/>
              </w:rPr>
              <w:t xml:space="preserve">78%</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FFA5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A500"/>
              </w:rPr>
              <w:t xml:space="preserve">86%</w:t>
            </w:r>
          </w:p>
        </w:tc>
      </w:tr>
      <w:tr>
        <w:trPr>
          <w:trHeight w:val="360" w:hRule="auto"/>
        </w:trPr>
        footer 1
        <w:tc>
          <w:tcPr>
            <w:gridSpan w:val="10"/>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Data sources: Participant recall of ITNs received vs participant recall of HHR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p>
        </w:tc>
      </w:tr>
      <w:tr>
        <w:trPr>
          <w:trHeight w:val="360" w:hRule="auto"/>
        </w:trPr>
        footer 2
        <w:tc>
          <w:tcPr>
            <w:gridSpan w:val="10"/>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LQAS decision rules (assuming 60 HHs interviewed per lot: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0-3 failures = Good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4-8 failures = Uncertain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9+ failures = Inadequate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p>
        </w:tc>
      </w:tr>
      <w:tr>
        <w:trPr>
          <w:trHeight w:val="360" w:hRule="auto"/>
        </w:trPr>
        footer 3
        <w:tc>
          <w:tcPr>
            <w:gridSpan w:val="10"/>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Classification categories for five key indicators: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Green &gt;= 90%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Orange &gt;80% to &lt;90%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Red &lt;=80%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p>
        </w:tc>
      </w:tr>
    </w:tbl>
    <w:p>
      <w:r>
        <w:br w:type="page"/>
      </w:r>
    </w:p>
    <w:bookmarkStart w:id="20" w:name="supplementary-tables"/>
    <w:p>
      <w:pPr>
        <w:pStyle w:val="Heading2"/>
      </w:pPr>
      <w:r>
        <w:t xml:space="preserve">Supplementary tables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10 Annex. Level of household registration and reasons why households were not registered, by district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 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HHR team visits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11"/>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Reasons why HHs were not visited, among unvisited cases</w:t>
            </w:r>
          </w:p>
        </w:tc>
      </w:tr>
      <w:tr>
        <w:trPr>
          <w:trHeight w:val="360" w:hRule="auto"/>
          <w:tblHeader/>
        </w:trPr>
        header 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visited by HHR team</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HHR team did not visit the HH</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 not present when HHR occured</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 refused to be registered</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Respondent does not know reason</w:t>
            </w:r>
          </w:p>
        </w:tc>
        <w:tc>
          <w:tcPr>
            <w:gridSpan w:val="2"/>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reason</w:t>
            </w:r>
          </w:p>
        </w:tc>
      </w:tr>
      <w:tr>
        <w:trPr>
          <w:trHeight w:val="360" w:hRule="auto"/>
          <w:tblHeader/>
        </w:trPr>
        header 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District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p>
        </w:tc>
      </w:tr>
      <w:tr>
        <w:trPr>
          <w:trHeight w:val="360" w:hRule="auto"/>
        </w:trPr>
        body 1
        <w:tc>
          <w:tcPr>
            <w:vMerge w:val="restart"/>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2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3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4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5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6
        <w:tc>
          <w:tcPr>
            <w:vMerge/>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7
        <w:tc>
          <w:tcPr>
            <w:vMerge w:val="restart"/>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8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9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body10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body11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body12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body13
        <w:tc>
          <w:tcPr>
            <w:vMerge/>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body14
        <w:tc>
          <w:tcPr>
            <w:vMerge w:val="restart"/>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body15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body16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body17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body18
        <w:tc>
          <w:tcPr>
            <w:vMerge/>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footer 1
        <w:tc>
          <w:tcPr>
            <w:gridSpan w:val="17"/>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Lot definition: District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Regional values are weighted averages</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11 Annex. Regional estimates for key indicators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header1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Household-level results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4"/>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Population-level results</w:t>
            </w:r>
          </w:p>
        </w:tc>
      </w:tr>
      <w:tr>
        <w:trPr>
          <w:trHeight w:val="360" w:hRule="auto"/>
          <w:tblHeader/>
        </w:trPr>
        header2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Received any campaign ITN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Received correct campaign ITNs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access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(all)</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ITN use (children &lt;5)</w:t>
            </w:r>
          </w:p>
        </w:tc>
      </w:tr>
      <w:tr>
        <w:trPr>
          <w:trHeight w:val="360" w:hRule="auto"/>
          <w:tblHeader/>
        </w:trPr>
        header3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Region</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HHs with data</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(95% CIs)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(95% CIs)</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Population count</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(95% CIs)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(95% CIs)</w:t>
            </w:r>
          </w:p>
        </w:tc>
        <w:tc>
          <w:tcPr>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(95% CIs)</w:t>
            </w:r>
          </w:p>
        </w:tc>
      </w:tr>
      <w:tr>
        <w:trPr>
          <w:trHeight w:val="360" w:hRule="auto"/>
        </w:trPr>
        body1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94.6 (91.7–97.4)</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76.3 (71.3–81.3)</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1,612</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73.8 (69.8–77.9)</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60.5 (56.1–65.0)</w:t>
            </w:r>
          </w:p>
        </w:tc>
        <w:tc>
          <w:tcPr>
            <w:tcBorders>
              <w:bottom w:val="single" w:sz="8" w:space="0" w:color="A9A9A9"/>
              <w:top w:val="single" w:sz="8" w:space="0" w:color="A9A9A9"/>
              <w:left w:val="single" w:sz="8" w:space="0" w:color="A9A9A9"/>
              <w:right w:val="single" w:sz="8" w:space="0" w:color="A9A9A9"/>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 (56.9–73.1)</w:t>
            </w:r>
          </w:p>
        </w:tc>
      </w:tr>
      <w:tr>
        <w:trPr>
          <w:trHeight w:val="360" w:hRule="auto"/>
        </w:trPr>
        body2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86.0 (81.7–90.3)</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47.6 (39.6–55.6)</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 (53.3–60.8)</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 (37.1–44.9)</w:t>
            </w:r>
          </w:p>
        </w:tc>
        <w:tc>
          <w:tcPr>
            <w:tcBorders>
              <w:bottom w:val="single" w:sz="8" w:space="0" w:color="A9A9A9"/>
              <w:top w:val="single" w:sz="8" w:space="0" w:color="A9A9A9"/>
              <w:left w:val="single" w:sz="8" w:space="0" w:color="A9A9A9"/>
              <w:right w:val="single" w:sz="8" w:space="0" w:color="A9A9A9"/>
            </w:tcBorders>
            <w:shd w:val="clear" w:color="auto" w:fill="E6F7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44.9 (38.2–51.5)</w:t>
            </w:r>
          </w:p>
        </w:tc>
      </w:tr>
      <w:tr>
        <w:trPr>
          <w:trHeight w:val="360" w:hRule="auto"/>
        </w:trPr>
        body3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97.1 (94.8–99.4)</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76.1 (68.8–83.4)</w:t>
            </w:r>
          </w:p>
        </w:tc>
        <w:tc>
          <w:tcPr>
            <w:tcBorders>
              <w:bottom w:val="single" w:sz="8" w:space="0" w:color="A9A9A9"/>
              <w:top w:val="single" w:sz="8" w:space="0" w:color="A9A9A9"/>
              <w:left w:val="single" w:sz="8" w:space="0" w:color="A9A9A9"/>
              <w:right w:val="single" w:sz="8" w:space="0" w:color="A9A9A9"/>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1,341</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79.1 (74.4–83.7)</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71.6 (64.6–78.6)</w:t>
            </w:r>
          </w:p>
        </w:tc>
        <w:tc>
          <w:tcPr>
            <w:tcBorders>
              <w:bottom w:val="single" w:sz="8" w:space="0" w:color="A9A9A9"/>
              <w:top w:val="single" w:sz="8" w:space="0" w:color="A9A9A9"/>
              <w:left w:val="single" w:sz="8" w:space="0" w:color="A9A9A9"/>
              <w:right w:val="single" w:sz="8" w:space="0" w:color="A9A9A9"/>
            </w:tcBorders>
            <w:shd w:val="clear" w:color="auto" w:fill="FFF2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75.6 (62.2–89.1)</w:t>
            </w:r>
          </w:p>
        </w:tc>
      </w:tr>
      <w:tr>
        <w:trPr>
          <w:trHeight w:val="360" w:hRule="auto"/>
        </w:trPr>
        footer1
        <w:tc>
          <w:tcPr>
            <w:gridSpan w:val="9"/>
            <w:tcBorders>
              <w:bottom w:val="single" w:sz="8" w:space="0" w:color="A9A9A9"/>
              <w:top w:val="single" w:sz="8" w:space="0" w:color="A9A9A9"/>
              <w:left w:val="single" w:sz="8" w:space="0" w:color="A9A9A9"/>
              <w:right w:val="single" w:sz="8" w:space="0" w:color="A9A9A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Regional values are weighted averages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Standard errors account for the clustered survey design</w:t>
            </w:r>
          </w:p>
        </w:tc>
      </w:tr>
    </w:tbl>
    <w:bookmarkEnd w:id="20"/>
    <w:sectPr w:rsidR="00755065" w:rsidSect="00171353">
      <w:footnotePr>
        <w:numRestart w:val="eachSect"/>
      </w:footnotePr>
      <w:pgSz w:h="12240" w:orient="landscape" w:w="15840"/>
      <w:pgMar w:bottom="567" w:footer="720" w:gutter="0" w:header="720" w:left="567" w:right="567" w:top="56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AAC593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05370293"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755065"/>
    <w:rsid w:val="000D61E0"/>
    <w:rsid w:val="00171353"/>
    <w:rsid w:val="00263BE1"/>
    <w:rsid w:val="003C388D"/>
    <w:rsid w:val="00422408"/>
    <w:rsid w:val="006343A8"/>
    <w:rsid w:val="00707B61"/>
    <w:rsid w:val="00755065"/>
    <w:rsid w:val="007F5057"/>
    <w:rsid w:val="00BD53A2"/>
    <w:rsid w:val="00CD24FB"/>
    <w:rsid w:val="00D330F1"/>
    <w:rsid w:val="00DA3901"/>
    <w:rsid w:val="00E103BD"/>
    <w:rsid w:val="00F7295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263BE1"/>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BodyText"/>
    <w:link w:val="Heading2Char"/>
    <w:uiPriority w:val="9"/>
    <w:unhideWhenUsed/>
    <w:qFormat/>
    <w:rsid w:val="007F5057"/>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0D61E0"/>
    <w:pPr>
      <w:spacing w:after="80"/>
      <w:contextualSpacing/>
    </w:pPr>
    <w:rPr>
      <w:rFonts w:asciiTheme="majorHAnsi" w:cstheme="majorBidi" w:eastAsiaTheme="majorEastAsia" w:hAnsiTheme="majorHAnsi"/>
      <w:sz w:val="52"/>
      <w:szCs w:val="52"/>
    </w:rPr>
  </w:style>
  <w:style w:customStyle="1" w:styleId="TitleChar" w:type="character">
    <w:name w:val="Title Char"/>
    <w:basedOn w:val="DefaultParagraphFont"/>
    <w:link w:val="Title"/>
    <w:uiPriority w:val="10"/>
    <w:rsid w:val="000D61E0"/>
    <w:rPr>
      <w:rFonts w:asciiTheme="majorHAnsi" w:cstheme="majorBidi" w:eastAsiaTheme="majorEastAsia" w:hAnsiTheme="majorHAnsi"/>
      <w:sz w:val="52"/>
      <w:szCs w:val="52"/>
    </w:rPr>
  </w:style>
  <w:style w:styleId="Subtitle" w:type="paragraph">
    <w:name w:val="Subtitle"/>
    <w:basedOn w:val="Title"/>
    <w:next w:val="BodyText"/>
    <w:link w:val="SubtitleChar"/>
    <w:uiPriority w:val="11"/>
    <w:qFormat/>
    <w:rsid w:val="00CD24FB"/>
    <w:rPr>
      <w:sz w:val="40"/>
      <w:szCs w:val="40"/>
    </w:rPr>
  </w:style>
  <w:style w:customStyle="1" w:styleId="SubtitleChar" w:type="character">
    <w:name w:val="Subtitle Char"/>
    <w:basedOn w:val="DefaultParagraphFont"/>
    <w:link w:val="Subtitle"/>
    <w:uiPriority w:val="11"/>
    <w:rsid w:val="00CD24FB"/>
    <w:rPr>
      <w:rFonts w:asciiTheme="majorHAnsi" w:cstheme="majorBidi" w:eastAsiaTheme="majorEastAsia" w:hAnsiTheme="majorHAnsi"/>
      <w:sz w:val="40"/>
      <w:szCs w:val="40"/>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63BE1"/>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rsid w:val="007F5057"/>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11AF2F54683D48B47D51E7C5C20D0A" ma:contentTypeVersion="21" ma:contentTypeDescription="Create a new document." ma:contentTypeScope="" ma:versionID="6c3ec6b3112fff6afcb2e1bceac7318f">
  <xsd:schema xmlns:xsd="http://www.w3.org/2001/XMLSchema" xmlns:xs="http://www.w3.org/2001/XMLSchema" xmlns:p="http://schemas.microsoft.com/office/2006/metadata/properties" xmlns:ns2="7a2ce8f2-2204-4367-a41c-b735e7c03037" xmlns:ns3="f53cdae7-58e9-463a-80c4-ff1f1a52caeb" targetNamespace="http://schemas.microsoft.com/office/2006/metadata/properties" ma:root="true" ma:fieldsID="1733b412cddd9f821d661af390973bad" ns2:_="" ns3:_="">
    <xsd:import namespace="7a2ce8f2-2204-4367-a41c-b735e7c03037"/>
    <xsd:import namespace="f53cdae7-58e9-463a-80c4-ff1f1a52ca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e8f2-2204-4367-a41c-b735e7c03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481388-e4f2-439f-bf9b-2973949102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erson" ma:index="26"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3cdae7-58e9-463a-80c4-ff1f1a52cae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80ac432-b52e-4b43-bc4d-225ae3d48219}" ma:internalName="TaxCatchAll" ma:showField="CatchAllData" ma:web="f53cdae7-58e9-463a-80c4-ff1f1a52c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erson xmlns="7a2ce8f2-2204-4367-a41c-b735e7c03037">
      <UserInfo>
        <DisplayName/>
        <AccountId xsi:nil="true"/>
        <AccountType/>
      </UserInfo>
    </Person>
    <TaxCatchAll xmlns="f53cdae7-58e9-463a-80c4-ff1f1a52caeb" xsi:nil="true"/>
    <lcf76f155ced4ddcb4097134ff3c332f xmlns="7a2ce8f2-2204-4367-a41c-b735e7c030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FF1D60-2B77-41B8-8968-4F5A696C3C13}"/>
</file>

<file path=customXml/itemProps2.xml><?xml version="1.0" encoding="utf-8"?>
<ds:datastoreItem xmlns:ds="http://schemas.openxmlformats.org/officeDocument/2006/customXml" ds:itemID="{DB445A4C-0041-4A1A-9223-CFF16808AACB}"/>
</file>

<file path=customXml/itemProps3.xml><?xml version="1.0" encoding="utf-8"?>
<ds:datastoreItem xmlns:ds="http://schemas.openxmlformats.org/officeDocument/2006/customXml" ds:itemID="{9B3C2D39-21F3-42A5-875F-EC7BD7A56148}"/>
</file>

<file path=docProps/app.xml><?xml version="1.0" encoding="utf-8"?>
<Properties xmlns="http://schemas.openxmlformats.org/officeDocument/2006/extended-properties" xmlns:vt="http://schemas.openxmlformats.org/officeDocument/2006/docPropsVTypes">
  <Template>Normal</Template>
  <TotalTime>15</TotalTime>
  <Pages>1</Pages>
  <Words>23</Words>
  <Characters>132</Characters>
  <Application>Microsoft Office Word</Application>
  <DocSecurity>0</DocSecurity>
  <Lines>1</Lines>
  <Paragraphs>1</Paragraphs>
  <ScaleCrop>false</ScaleCrop>
  <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End-process HHR Assessment Interim Report</dc:title>
  <dc:creator>Author(s): Eleanore Sternberg, Stephen Poyer</dc:creator>
  <cp:keywords/>
  <dcterms:created xsi:type="dcterms:W3CDTF">2026-01-22T11:14:40Z</dcterms:created>
  <dcterms:modified xsi:type="dcterms:W3CDTF">2026-01-22T11:14:40Z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Report date:22 January, 2026</vt:lpwstr>
  </property>
  <property fmtid="{D5CDD505-2E9C-101B-9397-08002B2CF9AE}" pid="3" name="output">
    <vt:lpwstr/>
  </property>
  <property fmtid="{D5CDD505-2E9C-101B-9397-08002B2CF9AE}" pid="4" name="subtitle">
    <vt:lpwstr>Country and/or location, Year</vt:lpwstr>
  </property>
  <property fmtid="{D5CDD505-2E9C-101B-9397-08002B2CF9AE}" pid="5" name="ContentTypeId">
    <vt:lpwstr>0x010100BF11AF2F54683D48B47D51E7C5C20D0A</vt:lpwstr>
  </property>
</Properties>
</file>