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tterMetadata"/>
      </w:pPr>
      <w:r>
        <w:t>Litigation Matter Brief</w:t>
      </w:r>
    </w:p>
    <w:p>
      <w:pPr>
        <w:pStyle w:val="Title"/>
      </w:pPr>
      <w:r>
        <w:t>Initial matter assessment</w:t>
      </w:r>
    </w:p>
    <w:p>
      <w:pPr>
        <w:spacing w:after="260"/>
      </w:pPr>
      <w:r>
        <w:t>Northstar Foods · Distribution-center water intrusion</w:t>
      </w:r>
    </w:p>
    <w:p>
      <w:pPr>
        <w:pStyle w:val="MatterMetadata"/>
      </w:pPr>
      <w:r>
        <w:rPr>
          <w:b/>
        </w:rPr>
        <w:t xml:space="preserve">To   </w:t>
      </w:r>
      <w:r>
        <w:t>Northstar matter team</w:t>
      </w:r>
    </w:p>
    <w:p>
      <w:pPr>
        <w:pStyle w:val="MatterMetadata"/>
      </w:pPr>
      <w:r>
        <w:rPr>
          <w:b/>
        </w:rPr>
        <w:t xml:space="preserve">From   </w:t>
      </w:r>
      <w:r>
        <w:t>Margaret Whitfield</w:t>
      </w:r>
    </w:p>
    <w:p>
      <w:pPr>
        <w:pStyle w:val="MatterMetadata"/>
      </w:pPr>
      <w:r>
        <w:rPr>
          <w:b/>
        </w:rPr>
        <w:t xml:space="preserve">Matter   </w:t>
      </w:r>
      <w:r>
        <w:t>NS-26-014 · Northstar Foods</w:t>
      </w:r>
    </w:p>
    <w:p>
      <w:pPr>
        <w:pStyle w:val="MatterMetadata"/>
      </w:pPr>
      <w:r>
        <w:rPr>
          <w:b/>
        </w:rPr>
        <w:t xml:space="preserve">Date   </w:t>
      </w:r>
      <w:r>
        <w:t>October 23, 2026 · Revision 2 · For lead attorney review</w:t>
      </w:r>
    </w:p>
    <w:p>
      <w:r>
        <w:t>Verify the earlier repair history before settling the litigation approach. The newly supplied email and log challenge the account that the May 2023 patch resolved the problem. They do not establish whether the later leaks share a cause or resolve a timing defense.</w:t>
      </w:r>
    </w:p>
    <w:p>
      <w:pPr>
        <w:pStyle w:val="Heading2"/>
      </w:pPr>
      <w:r>
        <w:t>Client objective</w:t>
      </w:r>
    </w:p>
    <w:p>
      <w:r>
        <w:t>Develop a recovery strategy without disrupting distribution operations. Northstar authorized an assessment of the evidence and options before a broader litigation commitment.</w:t>
      </w:r>
    </w:p>
    <w:p>
      <w:pPr>
        <w:pStyle w:val="Heading2"/>
      </w:pPr>
      <w:r>
        <w:t>Responsibility and evidence</w:t>
      </w:r>
    </w:p>
    <w:p>
      <w:r>
        <w:t>The agreement and photographs identify the project and reported conditions, not their cause. Compare roof and facade interfaces, contractor scope and operating conditions with the engineer before attributing all moisture to one defect.</w:t>
      </w:r>
    </w:p>
    <w:p>
      <w:pPr>
        <w:pStyle w:val="Heading2"/>
      </w:pPr>
      <w:r>
        <w:t>Repair history · revised</w:t>
      </w:r>
    </w:p>
    <w:p>
      <w:r>
        <w:t>The November 2023 email describes renewed leakage after the May patch. Its maintenance attachment supports investigation of the earlier period. Obtain originals and confirm locations, observations and work performed; the client’s initial chronology is incomplete.</w:t>
      </w:r>
    </w:p>
    <w:p>
      <w:pPr>
        <w:pStyle w:val="Heading2"/>
      </w:pPr>
      <w:r>
        <w:t>Firm experience applied</w:t>
      </w:r>
    </w:p>
    <w:p>
      <w:r>
        <w:t>Harbor’s causation analysis and reviewed closeout caution against equating a completed patch with a resolved defect. Briar Glen shows why an earlier complaint must be investigated before carrying a chronology into the legal assessment. Neither outcome determines Northstar’s position.</w:t>
      </w:r>
    </w:p>
    <w:p>
      <w:r>
        <w:br w:type="page"/>
      </w:r>
    </w:p>
    <w:p>
      <w:pPr>
        <w:pStyle w:val="Heading1"/>
      </w:pPr>
      <w:r>
        <w:t>Evidence and recommended work</w:t>
      </w:r>
    </w:p>
    <w:p>
      <w:pPr>
        <w:spacing w:after="200"/>
      </w:pPr>
      <w:r>
        <w:t>Investigation proposed for Margaret’s review.</w:t>
      </w:r>
    </w:p>
    <w:tbl>
      <w:tblPr>
        <w:tblW w:type="auto" w:w="0"/>
        <w:jc w:val="center"/>
        <w:tblLayout w:type="fixed"/>
        <w:tblLook w:firstColumn="1" w:firstRow="1" w:lastColumn="0" w:lastRow="0" w:noHBand="0" w:noVBand="1" w:val="04A0"/>
      </w:tblPr>
      <w:tblGrid>
        <w:gridCol w:w="1800"/>
        <w:gridCol w:w="4104"/>
        <w:gridCol w:w="4176"/>
      </w:tblGrid>
      <w:tr>
        <w:trPr>
          <w:tblHeader/>
        </w:trPr>
        <w:tc>
          <w:tcPr>
            <w:tcW w:type="dxa" w:w="1800"/>
            <w:tcBorders>
              <w:top w:val="single" w:sz="4" w:color="D9D9D9"/>
              <w:left w:val="single" w:sz="4" w:color="D9D9D9"/>
              <w:bottom w:val="single" w:sz="4" w:color="D9D9D9"/>
              <w:right w:val="single" w:sz="4" w:color="D9D9D9"/>
            </w:tcBorders>
            <w:tcMar>
              <w:top w:w="110" w:type="dxa"/>
              <w:bottom w:w="110" w:type="dxa"/>
              <w:left w:w="115" w:type="dxa"/>
              <w:right w:w="115" w:type="dxa"/>
            </w:tcMar>
            <w:shd w:fill="E8ECE9"/>
            <w:vAlign w:val="center"/>
          </w:tcPr>
          <w:p>
            <w:pPr>
              <w:spacing w:after="0"/>
            </w:pPr>
            <w:r>
              <w:rPr>
                <w:b/>
                <w:sz w:val="21"/>
              </w:rPr>
              <w:t>Question</w:t>
            </w:r>
          </w:p>
        </w:tc>
        <w:tc>
          <w:tcPr>
            <w:tcW w:type="dxa" w:w="4104"/>
            <w:tcBorders>
              <w:top w:val="single" w:sz="4" w:color="D9D9D9"/>
              <w:left w:val="single" w:sz="4" w:color="D9D9D9"/>
              <w:bottom w:val="single" w:sz="4" w:color="D9D9D9"/>
              <w:right w:val="single" w:sz="4" w:color="D9D9D9"/>
            </w:tcBorders>
            <w:tcMar>
              <w:top w:w="110" w:type="dxa"/>
              <w:bottom w:w="110" w:type="dxa"/>
              <w:left w:w="115" w:type="dxa"/>
              <w:right w:w="115" w:type="dxa"/>
            </w:tcMar>
            <w:shd w:fill="E8ECE9"/>
            <w:vAlign w:val="center"/>
          </w:tcPr>
          <w:p>
            <w:pPr>
              <w:spacing w:after="0"/>
            </w:pPr>
            <w:r>
              <w:rPr>
                <w:b/>
                <w:sz w:val="21"/>
              </w:rPr>
              <w:t>Record and limit</w:t>
            </w:r>
          </w:p>
        </w:tc>
        <w:tc>
          <w:tcPr>
            <w:tcW w:type="dxa" w:w="4176"/>
            <w:tcBorders>
              <w:top w:val="single" w:sz="4" w:color="D9D9D9"/>
              <w:left w:val="single" w:sz="4" w:color="D9D9D9"/>
              <w:bottom w:val="single" w:sz="4" w:color="D9D9D9"/>
              <w:right w:val="single" w:sz="4" w:color="D9D9D9"/>
            </w:tcBorders>
            <w:tcMar>
              <w:top w:w="110" w:type="dxa"/>
              <w:bottom w:w="110" w:type="dxa"/>
              <w:left w:w="115" w:type="dxa"/>
              <w:right w:w="115" w:type="dxa"/>
            </w:tcMar>
            <w:shd w:fill="E8ECE9"/>
            <w:vAlign w:val="center"/>
          </w:tcPr>
          <w:p>
            <w:pPr>
              <w:spacing w:after="0"/>
            </w:pPr>
            <w:r>
              <w:rPr>
                <w:b/>
                <w:sz w:val="21"/>
              </w:rPr>
              <w:t>Proposed work</w:t>
            </w:r>
          </w:p>
        </w:tc>
      </w:tr>
      <w:tr>
        <w:trPr>
          <w:cantSplit/>
        </w:trPr>
        <w:tc>
          <w:tcPr>
            <w:tcW w:type="dxa" w:w="1800"/>
            <w:tcBorders>
              <w:top w:val="single" w:sz="4" w:color="D9D9D9"/>
              <w:left w:val="single" w:sz="4" w:color="D9D9D9"/>
              <w:bottom w:val="single" w:sz="4" w:color="D9D9D9"/>
              <w:right w:val="single" w:sz="4" w:color="D9D9D9"/>
            </w:tcBorders>
            <w:tcMar>
              <w:top w:w="110" w:type="dxa"/>
              <w:bottom w:w="110" w:type="dxa"/>
              <w:left w:w="115" w:type="dxa"/>
              <w:right w:w="115" w:type="dxa"/>
            </w:tcMar>
            <w:vAlign w:val="center"/>
          </w:tcPr>
          <w:p>
            <w:pPr>
              <w:spacing w:after="0" w:line="259" w:lineRule="auto"/>
            </w:pPr>
            <w:r>
              <w:rPr>
                <w:b/>
                <w:sz w:val="21"/>
              </w:rPr>
              <w:t>Repair and recurrence</w:t>
            </w:r>
          </w:p>
        </w:tc>
        <w:tc>
          <w:tcPr>
            <w:tcW w:type="dxa" w:w="4104"/>
            <w:tcBorders>
              <w:top w:val="single" w:sz="4" w:color="D9D9D9"/>
              <w:left w:val="single" w:sz="4" w:color="D9D9D9"/>
              <w:bottom w:val="single" w:sz="4" w:color="D9D9D9"/>
              <w:right w:val="single" w:sz="4" w:color="D9D9D9"/>
            </w:tcBorders>
            <w:tcMar>
              <w:top w:w="110" w:type="dxa"/>
              <w:bottom w:w="110" w:type="dxa"/>
              <w:left w:w="115" w:type="dxa"/>
              <w:right w:w="115" w:type="dxa"/>
            </w:tcMar>
            <w:vAlign w:val="center"/>
          </w:tcPr>
          <w:p>
            <w:pPr>
              <w:spacing w:after="0" w:line="259" w:lineRule="auto"/>
            </w:pPr>
            <w:r>
              <w:rPr>
                <w:sz w:val="21"/>
              </w:rPr>
              <w:t>New: a November 2023 email reports post-patch leakage; its maintenance attachment records repeat visits.</w:t>
            </w:r>
          </w:p>
        </w:tc>
        <w:tc>
          <w:tcPr>
            <w:tcW w:type="dxa" w:w="4176"/>
            <w:tcBorders>
              <w:top w:val="single" w:sz="4" w:color="D9D9D9"/>
              <w:left w:val="single" w:sz="4" w:color="D9D9D9"/>
              <w:bottom w:val="single" w:sz="4" w:color="D9D9D9"/>
              <w:right w:val="single" w:sz="4" w:color="D9D9D9"/>
            </w:tcBorders>
            <w:tcMar>
              <w:top w:w="110" w:type="dxa"/>
              <w:bottom w:w="110" w:type="dxa"/>
              <w:left w:w="115" w:type="dxa"/>
              <w:right w:w="115" w:type="dxa"/>
            </w:tcMar>
            <w:vAlign w:val="center"/>
          </w:tcPr>
          <w:p>
            <w:pPr>
              <w:spacing w:after="0" w:line="259" w:lineRule="auto"/>
            </w:pPr>
            <w:r>
              <w:rPr>
                <w:sz w:val="21"/>
              </w:rPr>
              <w:t>First: preserve originals, interview the facilities witness and reconcile the 2023 chronology.</w:t>
            </w:r>
          </w:p>
        </w:tc>
      </w:tr>
      <w:tr>
        <w:trPr>
          <w:cantSplit/>
        </w:trPr>
        <w:tc>
          <w:tcPr>
            <w:tcW w:type="dxa" w:w="1800"/>
            <w:tcBorders>
              <w:top w:val="single" w:sz="4" w:color="D9D9D9"/>
              <w:left w:val="single" w:sz="4" w:color="D9D9D9"/>
              <w:bottom w:val="single" w:sz="4" w:color="D9D9D9"/>
              <w:right w:val="single" w:sz="4" w:color="D9D9D9"/>
            </w:tcBorders>
            <w:tcMar>
              <w:top w:w="110" w:type="dxa"/>
              <w:bottom w:w="110" w:type="dxa"/>
              <w:left w:w="115" w:type="dxa"/>
              <w:right w:w="115" w:type="dxa"/>
            </w:tcMar>
            <w:vAlign w:val="center"/>
          </w:tcPr>
          <w:p>
            <w:pPr>
              <w:spacing w:after="0" w:line="259" w:lineRule="auto"/>
            </w:pPr>
            <w:r>
              <w:rPr>
                <w:b/>
                <w:sz w:val="21"/>
              </w:rPr>
              <w:t>Cause and responsibility</w:t>
            </w:r>
          </w:p>
        </w:tc>
        <w:tc>
          <w:tcPr>
            <w:tcW w:type="dxa" w:w="4104"/>
            <w:tcBorders>
              <w:top w:val="single" w:sz="4" w:color="D9D9D9"/>
              <w:left w:val="single" w:sz="4" w:color="D9D9D9"/>
              <w:bottom w:val="single" w:sz="4" w:color="D9D9D9"/>
              <w:right w:val="single" w:sz="4" w:color="D9D9D9"/>
            </w:tcBorders>
            <w:tcMar>
              <w:top w:w="110" w:type="dxa"/>
              <w:bottom w:w="110" w:type="dxa"/>
              <w:left w:w="115" w:type="dxa"/>
              <w:right w:w="115" w:type="dxa"/>
            </w:tcMar>
            <w:vAlign w:val="center"/>
          </w:tcPr>
          <w:p>
            <w:pPr>
              <w:spacing w:after="0" w:line="259" w:lineRule="auto"/>
            </w:pPr>
            <w:r>
              <w:rPr>
                <w:sz w:val="21"/>
              </w:rPr>
              <w:t>Photographs show reported water intrusion; they do not allocate cause between trades or operating conditions.</w:t>
            </w:r>
          </w:p>
        </w:tc>
        <w:tc>
          <w:tcPr>
            <w:tcW w:type="dxa" w:w="4176"/>
            <w:tcBorders>
              <w:top w:val="single" w:sz="4" w:color="D9D9D9"/>
              <w:left w:val="single" w:sz="4" w:color="D9D9D9"/>
              <w:bottom w:val="single" w:sz="4" w:color="D9D9D9"/>
              <w:right w:val="single" w:sz="4" w:color="D9D9D9"/>
            </w:tcBorders>
            <w:tcMar>
              <w:top w:w="110" w:type="dxa"/>
              <w:bottom w:w="110" w:type="dxa"/>
              <w:left w:w="115" w:type="dxa"/>
              <w:right w:w="115" w:type="dxa"/>
            </w:tcMar>
            <w:vAlign w:val="center"/>
          </w:tcPr>
          <w:p>
            <w:pPr>
              <w:spacing w:after="0" w:line="259" w:lineRule="auto"/>
            </w:pPr>
            <w:r>
              <w:rPr>
                <w:sz w:val="21"/>
              </w:rPr>
              <w:t>Have the engineer compare locations, mechanisms and repairs before defining the responsibility case.</w:t>
            </w:r>
          </w:p>
        </w:tc>
      </w:tr>
      <w:tr>
        <w:trPr>
          <w:cantSplit/>
        </w:trPr>
        <w:tc>
          <w:tcPr>
            <w:tcW w:type="dxa" w:w="1800"/>
            <w:tcBorders>
              <w:top w:val="single" w:sz="4" w:color="D9D9D9"/>
              <w:left w:val="single" w:sz="4" w:color="D9D9D9"/>
              <w:bottom w:val="single" w:sz="4" w:color="D9D9D9"/>
              <w:right w:val="single" w:sz="4" w:color="D9D9D9"/>
            </w:tcBorders>
            <w:tcMar>
              <w:top w:w="110" w:type="dxa"/>
              <w:bottom w:w="110" w:type="dxa"/>
              <w:left w:w="115" w:type="dxa"/>
              <w:right w:w="115" w:type="dxa"/>
            </w:tcMar>
            <w:vAlign w:val="center"/>
          </w:tcPr>
          <w:p>
            <w:pPr>
              <w:spacing w:after="0" w:line="259" w:lineRule="auto"/>
            </w:pPr>
            <w:r>
              <w:rPr>
                <w:b/>
                <w:sz w:val="21"/>
              </w:rPr>
              <w:t>Timing and production</w:t>
            </w:r>
          </w:p>
        </w:tc>
        <w:tc>
          <w:tcPr>
            <w:tcW w:type="dxa" w:w="4104"/>
            <w:tcBorders>
              <w:top w:val="single" w:sz="4" w:color="D9D9D9"/>
              <w:left w:val="single" w:sz="4" w:color="D9D9D9"/>
              <w:bottom w:val="single" w:sz="4" w:color="D9D9D9"/>
              <w:right w:val="single" w:sz="4" w:color="D9D9D9"/>
            </w:tcBorders>
            <w:tcMar>
              <w:top w:w="110" w:type="dxa"/>
              <w:bottom w:w="110" w:type="dxa"/>
              <w:left w:w="115" w:type="dxa"/>
              <w:right w:w="115" w:type="dxa"/>
            </w:tcMar>
            <w:vAlign w:val="center"/>
          </w:tcPr>
          <w:p>
            <w:pPr>
              <w:spacing w:after="0" w:line="259" w:lineRule="auto"/>
            </w:pPr>
            <w:r>
              <w:rPr>
                <w:sz w:val="21"/>
              </w:rPr>
              <w:t>The newly documented recurrence may affect the timing analysis. Records control is unverified.</w:t>
            </w:r>
          </w:p>
        </w:tc>
        <w:tc>
          <w:tcPr>
            <w:tcW w:type="dxa" w:w="4176"/>
            <w:tcBorders>
              <w:top w:val="single" w:sz="4" w:color="D9D9D9"/>
              <w:left w:val="single" w:sz="4" w:color="D9D9D9"/>
              <w:bottom w:val="single" w:sz="4" w:color="D9D9D9"/>
              <w:right w:val="single" w:sz="4" w:color="D9D9D9"/>
            </w:tcBorders>
            <w:tcMar>
              <w:top w:w="110" w:type="dxa"/>
              <w:bottom w:w="110" w:type="dxa"/>
              <w:left w:w="115" w:type="dxa"/>
              <w:right w:w="115" w:type="dxa"/>
            </w:tcMar>
            <w:vAlign w:val="center"/>
          </w:tcPr>
          <w:p>
            <w:pPr>
              <w:spacing w:after="0" w:line="259" w:lineRule="auto"/>
            </w:pPr>
            <w:r>
              <w:rPr>
                <w:sz w:val="21"/>
              </w:rPr>
              <w:t>Review applicable authorities against verified facts. Define a targeted request after identifying its purpose and records holder.</w:t>
            </w:r>
          </w:p>
        </w:tc>
      </w:tr>
    </w:tbl>
    <w:p>
      <w:pPr>
        <w:pStyle w:val="Heading2"/>
      </w:pPr>
      <w:r>
        <w:t>Why the recommendation changed</w:t>
      </w:r>
    </w:p>
    <w:p>
      <w:r>
        <w:t>Revision 1 retained a provisional resolved-repair account. The forwarded email and log challenge it. Margaret directed chronology and engineering comparison to take priority over a production motion. The earlier view remains in revision 1; the effect on the legal position awaits review.</w:t>
      </w:r>
    </w:p>
    <w:p>
      <w:pPr>
        <w:pStyle w:val="Heading2"/>
      </w:pPr>
      <w:r>
        <w:t>Decision for lead attorney review</w:t>
      </w:r>
    </w:p>
    <w:p>
      <w:r>
        <w:t>Margaret must review the revised assessment and authorize the proposed investigation. No motion has been approved for filing and no revised client instruction is recorded.</w:t>
      </w:r>
    </w:p>
    <w:p>
      <w:r>
        <w:br w:type="page"/>
      </w:r>
    </w:p>
    <w:p>
      <w:pPr>
        <w:pStyle w:val="Heading1"/>
      </w:pPr>
      <w:r>
        <w:t>Source record and revision history</w:t>
      </w:r>
    </w:p>
    <w:p>
      <w:r>
        <w:t>Revision 2 · Earlier assessment retained. New evidence and Margaret’s instruction linked to the changed recommendation.</w:t>
      </w:r>
    </w:p>
    <w:p>
      <w:pPr>
        <w:pStyle w:val="SourceReference"/>
      </w:pPr>
      <w:r>
        <w:t>NS-INSTRUCTIONS · Northstar · objectives and agreed approach · 2026-10-19</w:t>
      </w:r>
    </w:p>
    <w:p>
      <w:pPr>
        <w:pStyle w:val="SourceReference"/>
      </w:pPr>
      <w:r>
        <w:t>NS-ASSIGNMENT · Northstar · assessment questions · 2026-10-20</w:t>
      </w:r>
    </w:p>
    <w:p>
      <w:pPr>
        <w:pStyle w:val="SourceReference"/>
      </w:pPr>
      <w:r>
        <w:t>NS-CHRONOLOGY · Northstar · chronology available to revision 1 · 2026-10-20</w:t>
      </w:r>
    </w:p>
    <w:p>
      <w:pPr>
        <w:pStyle w:val="SourceReference"/>
      </w:pPr>
      <w:r>
        <w:t>NS-CONTRACT · Northstar · agreement and repair invoice · 2026-10-19</w:t>
      </w:r>
    </w:p>
    <w:p>
      <w:pPr>
        <w:pStyle w:val="SourceReference"/>
      </w:pPr>
      <w:r>
        <w:t>PRACTICE-07 · Construction disputes · assessment and evidence standard · 2026-09-03</w:t>
      </w:r>
    </w:p>
    <w:p>
      <w:pPr>
        <w:pStyle w:val="SourceReference"/>
      </w:pPr>
      <w:r>
        <w:t>HARBOR-SHARED-REVIEW · Harbor · reviewed reasoning available to Northstar · 2026-10-20</w:t>
      </w:r>
    </w:p>
    <w:p>
      <w:pPr>
        <w:pStyle w:val="SourceReference"/>
      </w:pPr>
      <w:r>
        <w:t>HARBOR-SHARED-CLOSE · Harbor · assessment and result available to Northstar · 2026-10-20</w:t>
      </w:r>
    </w:p>
    <w:p>
      <w:pPr>
        <w:pStyle w:val="SourceReference"/>
      </w:pPr>
      <w:r>
        <w:t>BRIAR-SHARED-CLOSE · Briar Glen · chronology lesson available to Northstar · 2026-10-20</w:t>
      </w:r>
    </w:p>
    <w:p>
      <w:pPr>
        <w:pStyle w:val="SourceReference"/>
      </w:pPr>
      <w:r>
        <w:t>NS-EMAIL-22 · Northstar · forwarded post-repair leakage email · 2026-10-22</w:t>
      </w:r>
    </w:p>
    <w:p>
      <w:pPr>
        <w:pStyle w:val="SourceReference"/>
      </w:pPr>
      <w:r>
        <w:t>NS-LOG-22 · Northstar · 2023 maintenance log · 2026-10-22</w:t>
      </w:r>
    </w:p>
    <w:p>
      <w:pPr>
        <w:pStyle w:val="SourceReference"/>
      </w:pPr>
      <w:r>
        <w:t>NS-REVISION-2 · Northstar · instruction and revision history · 2026-10-23</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613" w:right="1080" w:bottom="979" w:left="1080" w:header="547"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Reference"/>
      <w:tabs>
        <w:tab w:pos="9000" w:val="left"/>
      </w:tabs>
    </w:pPr>
    <w:r>
      <w:t>Fictional firm and matter · Internal draft</w:t>
    </w:r>
    <w: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Reference"/>
      <w:tabs>
        <w:tab w:pos="9000" w:val="left"/>
      </w:tabs>
    </w:pPr>
    <w:r>
      <w:t>Fictional firm and matter · Internal draft</w:t>
    </w:r>
    <w:r>
      <w:tab/>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Reference"/>
      <w:tabs>
        <w:tab w:pos="9000" w:val="left"/>
      </w:tabs>
    </w:pPr>
    <w:r>
      <w:t>Fictional firm and matter · Internal draft</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irmLetterhead"/>
      <w:spacing w:after="40"/>
    </w:pPr>
    <w:r>
      <w:t>Whitfield Hale LLP</w:t>
    </w:r>
  </w:p>
  <w:p>
    <w:pPr>
      <w:pStyle w:val="FirmPractice"/>
      <w:spacing w:after="0"/>
    </w:pPr>
    <w:r>
      <w:t>LITIGATION PRACTICE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irmLetterhead"/>
      <w:spacing w:after="40"/>
    </w:pPr>
    <w:r>
      <w:t>Whitfield Hale LLP</w:t>
    </w:r>
  </w:p>
  <w:p>
    <w:pPr>
      <w:pStyle w:val="FirmPractice"/>
      <w:spacing w:after="0"/>
    </w:pPr>
    <w:r>
      <w:t>LITIGATION PRACTICE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irmLetterhead"/>
      <w:spacing w:after="40"/>
    </w:pPr>
    <w:r>
      <w:t>Whitfield Hale LLP</w:t>
    </w:r>
  </w:p>
  <w:p>
    <w:pPr>
      <w:pStyle w:val="FirmPractice"/>
      <w:spacing w:after="0"/>
    </w:pPr>
    <w:r>
      <w:t>LITIGATION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eastAsia="Calibri"/>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Calibri" w:hAnsi="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40"/>
      <w:contextualSpacing/>
    </w:pPr>
    <w:rPr>
      <w:rFonts w:ascii="Georgia" w:hAnsi="Georgia" w:eastAsia="Georgia"/>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mLetterhead">
    <w:name w:val="Firm Letterhead"/>
    <w:pPr>
      <w:spacing w:after="60"/>
    </w:pPr>
    <w:rPr>
      <w:rFonts w:ascii="Georgia" w:hAnsi="Georgia" w:eastAsia="Georgia"/>
      <w:b w:val="0"/>
      <w:color w:val="000000"/>
      <w:sz w:val="44"/>
    </w:rPr>
  </w:style>
  <w:style w:type="paragraph" w:customStyle="1" w:styleId="FirmPractice">
    <w:name w:val="Firm Practice"/>
    <w:pPr>
      <w:spacing w:after="60"/>
    </w:pPr>
    <w:rPr>
      <w:rFonts w:ascii="Calibri" w:hAnsi="Calibri" w:eastAsia="Calibri"/>
      <w:b w:val="0"/>
      <w:color w:val="000000"/>
      <w:sz w:val="17"/>
    </w:rPr>
  </w:style>
  <w:style w:type="paragraph" w:customStyle="1" w:styleId="MatterMetadata">
    <w:name w:val="Matter Metadata"/>
    <w:pPr>
      <w:spacing w:after="60"/>
    </w:pPr>
    <w:rPr>
      <w:rFonts w:ascii="Calibri" w:hAnsi="Calibri" w:eastAsia="Calibri"/>
      <w:b w:val="0"/>
      <w:color w:val="000000"/>
      <w:sz w:val="20"/>
    </w:rPr>
  </w:style>
  <w:style w:type="paragraph" w:customStyle="1" w:styleId="SourceReference">
    <w:name w:val="Source Reference"/>
    <w:pPr>
      <w:spacing w:after="60" w:line="252" w:lineRule="auto"/>
    </w:pPr>
    <w:rPr>
      <w:rFonts w:ascii="Calibri" w:hAnsi="Calibri" w:eastAsia="Calibri"/>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matter assessment</dc:title>
  <dc:subject>Litigation Matter Brief</dc:subject>
  <dc:creator>Margaret Whitfield</dc:creator>
  <cp:keywords>Fictional demonstration; Northstar; internal draft; partner review</cp:keywords>
  <dc:description>generated by python-docx</dc:description>
  <cp:lastModifiedBy/>
  <cp:revision>2</cp:revision>
  <dcterms:created xsi:type="dcterms:W3CDTF">2026-10-23T12:00:00Z</dcterms:created>
  <dcterms:modified xsi:type="dcterms:W3CDTF">2026-10-23T12:00:00Z</dcterms:modified>
  <cp:category/>
</cp:coreProperties>
</file>