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tterMetadata"/>
      </w:pPr>
      <w:r>
        <w:t>Litigation Matter Brief</w:t>
      </w:r>
    </w:p>
    <w:p>
      <w:pPr>
        <w:pStyle w:val="Title"/>
      </w:pPr>
      <w:r>
        <w:t>Northstar Foods Matter Assessment</w:t>
      </w:r>
    </w:p>
    <w:p>
      <w:pPr>
        <w:spacing w:after="260"/>
      </w:pPr>
      <w:r>
        <w:t>Records and discovery</w:t>
      </w:r>
    </w:p>
    <w:p>
      <w:pPr>
        <w:pStyle w:val="MatterMetadata"/>
      </w:pPr>
      <w:r>
        <w:rPr>
          <w:b/>
        </w:rPr>
        <w:t xml:space="preserve">To   </w:t>
      </w:r>
      <w:r>
        <w:t>Sofia Patel</w:t>
      </w:r>
    </w:p>
    <w:p>
      <w:pPr>
        <w:pStyle w:val="MatterMetadata"/>
      </w:pPr>
      <w:r>
        <w:rPr>
          <w:b/>
        </w:rPr>
        <w:t xml:space="preserve">From   </w:t>
      </w:r>
      <w:r>
        <w:t>Avery Ross</w:t>
      </w:r>
    </w:p>
    <w:p>
      <w:pPr>
        <w:pStyle w:val="MatterMetadata"/>
      </w:pPr>
      <w:r>
        <w:rPr>
          <w:b/>
        </w:rPr>
        <w:t xml:space="preserve">Matter   </w:t>
      </w:r>
      <w:r>
        <w:t>NS-26-014 · Northstar Foods</w:t>
      </w:r>
    </w:p>
    <w:p>
      <w:pPr>
        <w:pStyle w:val="MatterMetadata"/>
      </w:pPr>
      <w:r>
        <w:rPr>
          <w:b/>
        </w:rPr>
        <w:t xml:space="preserve">Date   </w:t>
      </w:r>
      <w:r>
        <w:t>October 23, 2026 · Revision 2 · Draft for partner review</w:t>
      </w:r>
    </w:p>
    <w:p>
      <w:r>
        <w:t>I recommend checking the former facilities manager’s archive and establishing who controls the missing reports before recommending the scope of a motion to compel production. The client’s new email changes the collection question; it does not resolve records control.</w:t>
      </w:r>
    </w:p>
    <w:p>
      <w:pPr>
        <w:pStyle w:val="Heading2"/>
      </w:pPr>
      <w:r>
        <w:t>Client instructions</w:t>
      </w:r>
    </w:p>
    <w:p>
      <w:r>
        <w:t>Investigate water intrusion at the distribution center while limiting disruption to operations. The client requested a targeted records approach before broader collection.</w:t>
      </w:r>
    </w:p>
    <w:p>
      <w:pPr>
        <w:pStyle w:val="Heading2"/>
      </w:pPr>
      <w:r>
        <w:t>Current record</w:t>
      </w:r>
    </w:p>
    <w:p>
      <w:r>
        <w:t>The matter file contains the construction agreement, an inspection chronology and photographs. These establish the materials received, not responsibility for the alleged defects.</w:t>
      </w:r>
    </w:p>
    <w:p>
      <w:pPr>
        <w:pStyle w:val="Heading2"/>
      </w:pPr>
      <w:r>
        <w:t>Earlier assumption retained</w:t>
      </w:r>
    </w:p>
    <w:p>
      <w:r>
        <w:t>The contractor was the working custodian assumption; control of the missing reports had not been verified.</w:t>
      </w:r>
    </w:p>
    <w:p>
      <w:pPr>
        <w:pStyle w:val="Heading2"/>
      </w:pPr>
      <w:r>
        <w:t>New client information</w:t>
      </w:r>
    </w:p>
    <w:p>
      <w:r>
        <w:t>The client’s October 22 email identifies a former facilities manager who may hold the reports. It does not establish that the contractor controls them.</w:t>
      </w:r>
    </w:p>
    <w:p>
      <w:pPr>
        <w:pStyle w:val="Heading2"/>
      </w:pPr>
      <w:r>
        <w:t>Relevant firm review</w:t>
      </w:r>
    </w:p>
    <w:p>
      <w:r>
        <w:t>Sofia’s shared excerpt from my Harbor draft asks me to identify the custodian and connect each request to a disputed issue and supporting exhibit. I am using that excerpt and the published practice note for this assignment; the excerpt does not provide access to Harbor’s full file.</w:t>
      </w:r>
    </w:p>
    <w:p>
      <w:r>
        <w:br w:type="page"/>
      </w:r>
    </w:p>
    <w:p>
      <w:pPr>
        <w:pStyle w:val="Heading1"/>
      </w:pPr>
      <w:r>
        <w:t>Evidence map and review</w:t>
      </w:r>
    </w:p>
    <w:p>
      <w:pPr>
        <w:spacing w:after="200"/>
      </w:pPr>
      <w:r>
        <w:t>Proposed work for partner review. The record below does not approve a motion for filing.</w:t>
      </w:r>
    </w:p>
    <w:tbl>
      <w:tblPr>
        <w:tblW w:type="auto" w:w="0"/>
        <w:jc w:val="center"/>
        <w:tblLayout w:type="fixed"/>
        <w:tblLook w:firstColumn="1" w:firstRow="1" w:lastColumn="0" w:lastRow="0" w:noHBand="0" w:noVBand="1" w:val="04A0"/>
      </w:tblPr>
      <w:tblGrid>
        <w:gridCol w:w="1800"/>
        <w:gridCol w:w="4104"/>
        <w:gridCol w:w="4176"/>
      </w:tblGrid>
      <w:tr>
        <w:trPr>
          <w:tblHeader/>
        </w:trPr>
        <w:tc>
          <w:tcPr>
            <w:tcW w:type="dxa" w:w="1800"/>
            <w:tcBorders>
              <w:top w:val="single" w:sz="4" w:color="D9D9D9"/>
              <w:left w:val="single" w:sz="4" w:color="D9D9D9"/>
              <w:bottom w:val="single" w:sz="4" w:color="D9D9D9"/>
              <w:right w:val="single" w:sz="4" w:color="D9D9D9"/>
            </w:tcBorders>
            <w:tcMar>
              <w:top w:w="110" w:type="dxa"/>
              <w:bottom w:w="110" w:type="dxa"/>
              <w:left w:w="115" w:type="dxa"/>
              <w:right w:w="115" w:type="dxa"/>
            </w:tcMar>
            <w:shd w:fill="E8ECE9"/>
            <w:vAlign w:val="center"/>
          </w:tcPr>
          <w:p>
            <w:pPr>
              <w:spacing w:after="0"/>
            </w:pPr>
            <w:r>
              <w:rPr>
                <w:b/>
                <w:sz w:val="21"/>
              </w:rPr>
              <w:t>Question</w:t>
            </w:r>
          </w:p>
        </w:tc>
        <w:tc>
          <w:tcPr>
            <w:tcW w:type="dxa" w:w="4104"/>
            <w:tcBorders>
              <w:top w:val="single" w:sz="4" w:color="D9D9D9"/>
              <w:left w:val="single" w:sz="4" w:color="D9D9D9"/>
              <w:bottom w:val="single" w:sz="4" w:color="D9D9D9"/>
              <w:right w:val="single" w:sz="4" w:color="D9D9D9"/>
            </w:tcBorders>
            <w:tcMar>
              <w:top w:w="110" w:type="dxa"/>
              <w:bottom w:w="110" w:type="dxa"/>
              <w:left w:w="115" w:type="dxa"/>
              <w:right w:w="115" w:type="dxa"/>
            </w:tcMar>
            <w:shd w:fill="E8ECE9"/>
            <w:vAlign w:val="center"/>
          </w:tcPr>
          <w:p>
            <w:pPr>
              <w:spacing w:after="0"/>
            </w:pPr>
            <w:r>
              <w:rPr>
                <w:b/>
                <w:sz w:val="21"/>
              </w:rPr>
              <w:t>Record and limit</w:t>
            </w:r>
          </w:p>
        </w:tc>
        <w:tc>
          <w:tcPr>
            <w:tcW w:type="dxa" w:w="4176"/>
            <w:tcBorders>
              <w:top w:val="single" w:sz="4" w:color="D9D9D9"/>
              <w:left w:val="single" w:sz="4" w:color="D9D9D9"/>
              <w:bottom w:val="single" w:sz="4" w:color="D9D9D9"/>
              <w:right w:val="single" w:sz="4" w:color="D9D9D9"/>
            </w:tcBorders>
            <w:tcMar>
              <w:top w:w="110" w:type="dxa"/>
              <w:bottom w:w="110" w:type="dxa"/>
              <w:left w:w="115" w:type="dxa"/>
              <w:right w:w="115" w:type="dxa"/>
            </w:tcMar>
            <w:shd w:fill="E8ECE9"/>
            <w:vAlign w:val="center"/>
          </w:tcPr>
          <w:p>
            <w:pPr>
              <w:spacing w:after="0"/>
            </w:pPr>
            <w:r>
              <w:rPr>
                <w:b/>
                <w:sz w:val="21"/>
              </w:rPr>
              <w:t>Proposed work</w:t>
            </w:r>
          </w:p>
        </w:tc>
      </w:tr>
      <w:tr>
        <w:trPr>
          <w:cantSplit/>
        </w:trPr>
        <w:tc>
          <w:tcPr>
            <w:tcW w:type="dxa" w:w="1800"/>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b/>
                <w:sz w:val="21"/>
              </w:rPr>
              <w:t>Who controls the reports?</w:t>
            </w:r>
          </w:p>
        </w:tc>
        <w:tc>
          <w:tcPr>
            <w:tcW w:type="dxa" w:w="4104"/>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sz w:val="21"/>
              </w:rPr>
              <w:t>The client’s October 22 email identifies a former facilities manager who may hold the reports. It does not establish that the contractor controls them.</w:t>
            </w:r>
          </w:p>
        </w:tc>
        <w:tc>
          <w:tcPr>
            <w:tcW w:type="dxa" w:w="4176"/>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sz w:val="21"/>
              </w:rPr>
              <w:t>Check the former manager’s archive and record the evidence of who controls each missing report.</w:t>
            </w:r>
          </w:p>
        </w:tc>
      </w:tr>
      <w:tr>
        <w:trPr>
          <w:cantSplit/>
        </w:trPr>
        <w:tc>
          <w:tcPr>
            <w:tcW w:type="dxa" w:w="1800"/>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b/>
                <w:sz w:val="21"/>
              </w:rPr>
              <w:t>What would each request establish?</w:t>
            </w:r>
          </w:p>
        </w:tc>
        <w:tc>
          <w:tcPr>
            <w:tcW w:type="dxa" w:w="4104"/>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sz w:val="21"/>
              </w:rPr>
              <w:t>The agreement, inspection chronology and photographs are available. They do not by themselves establish responsibility for the alleged defects.</w:t>
            </w:r>
          </w:p>
        </w:tc>
        <w:tc>
          <w:tcPr>
            <w:tcW w:type="dxa" w:w="4176"/>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sz w:val="21"/>
              </w:rPr>
              <w:t>Map each proposed request to a disputed issue and supporting material. Identify gaps for Sofia’s review.</w:t>
            </w:r>
          </w:p>
        </w:tc>
      </w:tr>
      <w:tr>
        <w:trPr>
          <w:cantSplit/>
        </w:trPr>
        <w:tc>
          <w:tcPr>
            <w:tcW w:type="dxa" w:w="1800"/>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b/>
                <w:sz w:val="21"/>
              </w:rPr>
              <w:t>How far should collection extend?</w:t>
            </w:r>
          </w:p>
        </w:tc>
        <w:tc>
          <w:tcPr>
            <w:tcW w:type="dxa" w:w="4104"/>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sz w:val="21"/>
              </w:rPr>
              <w:t>The client requested a targeted records approach that limits disruption to operations.</w:t>
            </w:r>
          </w:p>
        </w:tc>
        <w:tc>
          <w:tcPr>
            <w:tcW w:type="dxa" w:w="4176"/>
            <w:tcBorders>
              <w:top w:val="single" w:sz="4" w:color="D9D9D9"/>
              <w:left w:val="single" w:sz="4" w:color="D9D9D9"/>
              <w:bottom w:val="single" w:sz="4" w:color="D9D9D9"/>
              <w:right w:val="single" w:sz="4" w:color="D9D9D9"/>
            </w:tcBorders>
            <w:tcMar>
              <w:top w:w="110" w:type="dxa"/>
              <w:bottom w:w="110" w:type="dxa"/>
              <w:left w:w="115" w:type="dxa"/>
              <w:right w:w="115" w:type="dxa"/>
            </w:tcMar>
            <w:vAlign w:val="center"/>
          </w:tcPr>
          <w:p>
            <w:pPr>
              <w:spacing w:after="0" w:line="259" w:lineRule="auto"/>
            </w:pPr>
            <w:r>
              <w:rPr>
                <w:sz w:val="21"/>
              </w:rPr>
              <w:t>Keep the proposed collection within that instruction. Refer any proposed expansion to the partner before it proceeds.</w:t>
            </w:r>
          </w:p>
        </w:tc>
      </w:tr>
    </w:tbl>
    <w:p>
      <w:pPr>
        <w:pStyle w:val="Heading2"/>
      </w:pPr>
      <w:r>
        <w:t>Response to partner review</w:t>
      </w:r>
    </w:p>
    <w:p>
      <w:r>
        <w:t>I have kept the earlier custodian assumption visible, added the October 22 email and separated its contents from the proposed response. The evidence map now identifies the archive check as work for review, rather than treating records control as established.</w:t>
      </w:r>
    </w:p>
    <w:p>
      <w:pPr>
        <w:pStyle w:val="Heading2"/>
      </w:pPr>
      <w:r>
        <w:t>Decision for partner review</w:t>
      </w:r>
    </w:p>
    <w:p>
      <w:r>
        <w:t>Sofia must review the evidence map and proposed approach. No motion has been approved for filing; no budget or client instruction is changed by this brief.</w:t>
      </w:r>
    </w:p>
    <w:p>
      <w:pPr>
        <w:pStyle w:val="Heading2"/>
      </w:pPr>
      <w:r>
        <w:t>Source record</w:t>
      </w:r>
    </w:p>
    <w:p>
      <w:pPr>
        <w:pStyle w:val="SourceReference"/>
      </w:pPr>
      <w:r>
        <w:t>NS-INSTRUCTIONS · Northstar · agreed starting position · 2026-10-19</w:t>
      </w:r>
    </w:p>
    <w:p>
      <w:pPr>
        <w:pStyle w:val="SourceReference"/>
      </w:pPr>
      <w:r>
        <w:t>NS-ASSIGNMENT · Avery’s Northstar assignment · 2026-10-20</w:t>
      </w:r>
    </w:p>
    <w:p>
      <w:pPr>
        <w:pStyle w:val="SourceReference"/>
      </w:pPr>
      <w:r>
        <w:t>NS-CHRONOLOGY · Northstar · received materials and unresolved facts · 2026-10-20</w:t>
      </w:r>
    </w:p>
    <w:p>
      <w:pPr>
        <w:pStyle w:val="SourceReference"/>
      </w:pPr>
      <w:r>
        <w:t>NS-EMAIL-22 · Former facilities manager may hold the reports · 2026-10-22</w:t>
      </w:r>
    </w:p>
    <w:p>
      <w:pPr>
        <w:pStyle w:val="SourceReference"/>
      </w:pPr>
      <w:r>
        <w:t>NS-REVIEW · Sofia’s review · distinguish assumption from evidence · 2026-10-22</w:t>
      </w:r>
    </w:p>
    <w:p>
      <w:pPr>
        <w:pStyle w:val="SourceReference"/>
      </w:pPr>
      <w:r>
        <w:t>PRACTICE-07 · Records control and focused production requests · 2026-09-03</w:t>
      </w:r>
    </w:p>
    <w:p>
      <w:pPr>
        <w:pStyle w:val="SourceReference"/>
      </w:pPr>
      <w:r>
        <w:t>HARBOR-SHARED-REVIEW · Avery’s Harbor draft · Sofia’s shared review · 2026-10-20</w:t>
      </w:r>
    </w:p>
    <w:sectPr w:rsidR="00FC693F" w:rsidRPr="0006063C" w:rsidSect="00034616">
      <w:headerReference w:type="default" r:id="rId9"/>
      <w:headerReference w:type="first" r:id="rId10"/>
      <w:headerReference w:type="even" r:id="rId11"/>
      <w:footerReference w:type="default" r:id="rId12"/>
      <w:footerReference w:type="first" r:id="rId13"/>
      <w:footerReference w:type="even" r:id="rId14"/>
      <w:pgSz w:w="12240" w:h="15840"/>
      <w:pgMar w:top="1613" w:right="1080" w:bottom="979" w:left="1080" w:header="547"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Reference"/>
      <w:tabs>
        <w:tab w:pos="9000" w:val="left"/>
      </w:tabs>
    </w:pPr>
    <w:r>
      <w:t>Fictional firm and matter · Internal draft</w:t>
    </w:r>
    <w: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Reference"/>
      <w:tabs>
        <w:tab w:pos="9000" w:val="left"/>
      </w:tabs>
    </w:pPr>
    <w:r>
      <w:t>Fictional firm and matter · Internal draft</w:t>
    </w:r>
    <w:r>
      <w:tab/>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Reference"/>
      <w:tabs>
        <w:tab w:pos="9000" w:val="left"/>
      </w:tabs>
    </w:pPr>
    <w:r>
      <w:t>Fictional firm and matter · Internal draft</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irmLetterhead"/>
      <w:spacing w:after="40"/>
    </w:pPr>
    <w:r>
      <w:t>Whitfield Hale LLP</w:t>
    </w:r>
  </w:p>
  <w:p>
    <w:pPr>
      <w:pStyle w:val="FirmPractice"/>
      <w:spacing w:after="0"/>
    </w:pPr>
    <w:r>
      <w:t>LITIGATION PRACTICE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irmLetterhead"/>
      <w:spacing w:after="40"/>
    </w:pPr>
    <w:r>
      <w:t>Whitfield Hale LLP</w:t>
    </w:r>
  </w:p>
  <w:p>
    <w:pPr>
      <w:pStyle w:val="FirmPractice"/>
      <w:spacing w:after="0"/>
    </w:pPr>
    <w:r>
      <w:t>LITIGATION PRACTICE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irmLetterhead"/>
      <w:spacing w:after="40"/>
    </w:pPr>
    <w:r>
      <w:t>Whitfield Hale LLP</w:t>
    </w:r>
  </w:p>
  <w:p>
    <w:pPr>
      <w:pStyle w:val="FirmPractice"/>
      <w:spacing w:after="0"/>
    </w:pPr>
    <w:r>
      <w:t>LITIGATION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Calibri" w:hAnsi="Calibri" w:eastAsia="Calibri"/>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Calibri" w:hAnsi="Calibri" w:eastAsia="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Calibri" w:hAnsi="Calibri" w:eastAsia="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140"/>
      <w:contextualSpacing/>
    </w:pPr>
    <w:rPr>
      <w:rFonts w:ascii="Georgia" w:hAnsi="Georgia" w:eastAsia="Georgia"/>
      <w:b w:val="0"/>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mLetterhead">
    <w:name w:val="Firm Letterhead"/>
    <w:pPr>
      <w:spacing w:after="60"/>
    </w:pPr>
    <w:rPr>
      <w:rFonts w:ascii="Georgia" w:hAnsi="Georgia" w:eastAsia="Georgia"/>
      <w:b w:val="0"/>
      <w:color w:val="000000"/>
      <w:sz w:val="44"/>
    </w:rPr>
  </w:style>
  <w:style w:type="paragraph" w:customStyle="1" w:styleId="FirmPractice">
    <w:name w:val="Firm Practice"/>
    <w:pPr>
      <w:spacing w:after="60"/>
    </w:pPr>
    <w:rPr>
      <w:rFonts w:ascii="Calibri" w:hAnsi="Calibri" w:eastAsia="Calibri"/>
      <w:b w:val="0"/>
      <w:color w:val="000000"/>
      <w:sz w:val="17"/>
    </w:rPr>
  </w:style>
  <w:style w:type="paragraph" w:customStyle="1" w:styleId="MatterMetadata">
    <w:name w:val="Matter Metadata"/>
    <w:pPr>
      <w:spacing w:after="60"/>
    </w:pPr>
    <w:rPr>
      <w:rFonts w:ascii="Calibri" w:hAnsi="Calibri" w:eastAsia="Calibri"/>
      <w:b w:val="0"/>
      <w:color w:val="000000"/>
      <w:sz w:val="20"/>
    </w:rPr>
  </w:style>
  <w:style w:type="paragraph" w:customStyle="1" w:styleId="SourceReference">
    <w:name w:val="Source Reference"/>
    <w:pPr>
      <w:spacing w:after="60" w:line="252" w:lineRule="auto"/>
    </w:pPr>
    <w:rPr>
      <w:rFonts w:ascii="Calibri" w:hAnsi="Calibri" w:eastAsia="Calibri"/>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Foods Matter Assessment</dc:title>
  <dc:subject>Litigation Matter Brief</dc:subject>
  <dc:creator>Avery Ross</dc:creator>
  <cp:keywords>Fictional demonstration; Northstar; internal draft; partner review</cp:keywords>
  <dc:description>generated by python-docx</dc:description>
  <cp:lastModifiedBy/>
  <cp:revision>2</cp:revision>
  <dcterms:created xsi:type="dcterms:W3CDTF">2026-10-23T12:00:00Z</dcterms:created>
  <dcterms:modified xsi:type="dcterms:W3CDTF">2026-10-23T12:00:00Z</dcterms:modified>
  <cp:category/>
</cp:coreProperties>
</file>